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7"/>
        <w:jc w:val="center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5"/>
          <w:shd w:val="clear" w:color="auto" w:fill="auto"/>
        </w:rPr>
        <w:t xml:space="preserve">КУ «Центр обеспечения безопасности жизнедеятельности и призыва граждан на военную службу»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jc w:val="center"/>
        <w:rPr>
          <w:rFonts w:ascii="PT Serif" w:hAnsi="PT Serif" w:cs="PT Serif"/>
          <w:color w:val="000000" w:themeColor="text1"/>
          <w:sz w:val="25"/>
          <w:szCs w:val="25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5"/>
          <w:szCs w:val="25"/>
          <w:shd w:val="clear" w:color="auto" w:fill="auto"/>
        </w:rPr>
      </w:r>
      <w:r>
        <w:rPr>
          <w:rFonts w:ascii="PT Serif" w:hAnsi="PT Serif" w:cs="PT Serif"/>
          <w:color w:val="000000" w:themeColor="text1"/>
          <w:sz w:val="25"/>
          <w:szCs w:val="25"/>
          <w:highlight w:val="none"/>
          <w:shd w:val="clear" w:color="auto" w:fill="auto"/>
        </w:rPr>
      </w:r>
    </w:p>
    <w:p>
      <w:pPr>
        <w:pStyle w:val="627"/>
        <w:jc w:val="center"/>
        <w:rPr>
          <w:rFonts w:ascii="PT Serif" w:hAnsi="PT Serif" w:cs="PT Serif"/>
          <w:color w:val="000000" w:themeColor="text1"/>
          <w:sz w:val="25"/>
          <w:szCs w:val="25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5"/>
          <w:szCs w:val="25"/>
          <w:shd w:val="clear" w:color="auto" w:fill="auto"/>
        </w:rPr>
      </w:r>
      <w:r>
        <w:rPr>
          <w:rFonts w:ascii="PT Serif" w:hAnsi="PT Serif" w:cs="PT Serif"/>
          <w:color w:val="000000" w:themeColor="text1"/>
          <w:sz w:val="25"/>
          <w:szCs w:val="25"/>
          <w:highlight w:val="none"/>
          <w:shd w:val="clear" w:color="auto" w:fill="auto"/>
        </w:rPr>
      </w:r>
    </w:p>
    <w:p>
      <w:pPr>
        <w:pStyle w:val="627"/>
        <w:jc w:val="center"/>
        <w:rPr>
          <w:rFonts w:ascii="PT Serif" w:hAnsi="PT Serif" w:cs="PT Serif"/>
          <w:b/>
          <w:color w:val="000000" w:themeColor="text1"/>
          <w:sz w:val="25"/>
          <w:szCs w:val="25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color w:val="000000" w:themeColor="text1"/>
          <w:sz w:val="25"/>
          <w:szCs w:val="25"/>
          <w:shd w:val="clear" w:color="auto" w:fill="auto"/>
        </w:rPr>
      </w:r>
      <w:r>
        <w:rPr>
          <w:rFonts w:ascii="PT Serif" w:hAnsi="PT Serif" w:cs="PT Serif"/>
          <w:b/>
          <w:color w:val="000000" w:themeColor="text1"/>
          <w:sz w:val="25"/>
          <w:szCs w:val="25"/>
          <w:highlight w:val="none"/>
          <w:shd w:val="clear" w:color="auto" w:fill="auto"/>
        </w:rPr>
      </w:r>
    </w:p>
    <w:p>
      <w:pPr>
        <w:pStyle w:val="627"/>
        <w:jc w:val="center"/>
        <w:rPr>
          <w:rFonts w:ascii="PT Serif" w:hAnsi="PT Serif" w:cs="PT Serif"/>
          <w:b/>
          <w:color w:val="000000" w:themeColor="text1"/>
          <w:sz w:val="16"/>
          <w:szCs w:val="16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color w:val="000000" w:themeColor="text1"/>
          <w:sz w:val="16"/>
          <w:szCs w:val="16"/>
          <w:shd w:val="clear" w:color="auto" w:fill="auto"/>
        </w:rPr>
      </w:r>
      <w:r>
        <w:rPr>
          <w:rFonts w:ascii="PT Serif" w:hAnsi="PT Serif" w:cs="PT Serif"/>
          <w:b/>
          <w:color w:val="000000" w:themeColor="text1"/>
          <w:sz w:val="16"/>
          <w:szCs w:val="16"/>
          <w:highlight w:val="none"/>
          <w:shd w:val="clear" w:color="auto" w:fill="auto"/>
        </w:rPr>
      </w:r>
    </w:p>
    <w:tbl>
      <w:tblPr>
        <w:tblW w:w="924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018"/>
        <w:gridCol w:w="5228"/>
      </w:tblGrid>
      <w:tr>
        <w:tblPrEx/>
        <w:trPr/>
        <w:tc>
          <w:tcPr>
            <w:tcW w:w="4018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z w:val="24"/>
                <w:szCs w:val="24"/>
                <w:shd w:val="clear" w:color="auto" w:fill="auto"/>
              </w:rPr>
              <w:t xml:space="preserve">[Дата документа]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  <w:p>
            <w:pPr>
              <w:pStyle w:val="627"/>
              <w:numPr>
                <w:ilvl w:val="0"/>
                <w:numId w:val="0"/>
              </w:numPr>
              <w:ind w:left="0" w:hanging="2"/>
              <w:rPr>
                <w:rFonts w:ascii="PT Serif" w:hAnsi="PT Serif" w:cs="PT Serif"/>
                <w:color w:val="000000" w:themeColor="text1"/>
                <w:sz w:val="24"/>
                <w:szCs w:val="24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color w:val="000000" w:themeColor="text1"/>
                <w:sz w:val="24"/>
                <w:szCs w:val="24"/>
                <w:shd w:val="clear" w:color="auto" w:fill="auto"/>
              </w:rPr>
            </w:r>
            <w:r>
              <w:rPr>
                <w:rFonts w:ascii="PT Serif" w:hAnsi="PT Serif" w:cs="PT Serif"/>
                <w:color w:val="000000" w:themeColor="text1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5228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right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z w:val="24"/>
                <w:szCs w:val="24"/>
                <w:shd w:val="clear" w:color="auto" w:fill="auto"/>
              </w:rPr>
              <w:t xml:space="preserve">[Номер документа]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</w:tbl>
    <w:p>
      <w:pPr>
        <w:pStyle w:val="627"/>
        <w:jc w:val="center"/>
        <w:rPr>
          <w:rFonts w:ascii="PT Serif" w:hAnsi="PT Serif" w:cs="PT Serif"/>
          <w:b/>
          <w:color w:val="000000" w:themeColor="text1"/>
          <w:sz w:val="28"/>
          <w:szCs w:val="28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color w:val="000000" w:themeColor="text1"/>
          <w:sz w:val="28"/>
          <w:szCs w:val="28"/>
          <w:shd w:val="clear" w:color="auto" w:fill="auto"/>
        </w:rPr>
      </w:r>
      <w:r>
        <w:rPr>
          <w:rFonts w:ascii="PT Serif" w:hAnsi="PT Serif" w:cs="PT Serif"/>
          <w:b/>
          <w:color w:val="000000" w:themeColor="text1"/>
          <w:sz w:val="28"/>
          <w:szCs w:val="28"/>
          <w:highlight w:val="none"/>
          <w:shd w:val="clear" w:color="auto" w:fill="auto"/>
        </w:rPr>
      </w:r>
    </w:p>
    <w:p>
      <w:pPr>
        <w:pStyle w:val="627"/>
        <w:jc w:val="center"/>
        <w:rPr>
          <w:rFonts w:ascii="PT Serif" w:hAnsi="PT Serif" w:cs="PT Serif"/>
          <w:b/>
          <w:color w:val="000000" w:themeColor="text1"/>
          <w:sz w:val="28"/>
          <w:szCs w:val="28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color w:val="000000" w:themeColor="text1"/>
          <w:sz w:val="28"/>
          <w:szCs w:val="28"/>
          <w:shd w:val="clear" w:color="auto" w:fill="auto"/>
        </w:rPr>
      </w:r>
      <w:r>
        <w:rPr>
          <w:rFonts w:ascii="PT Serif" w:hAnsi="PT Serif" w:cs="PT Serif"/>
          <w:b/>
          <w:color w:val="000000" w:themeColor="text1"/>
          <w:sz w:val="28"/>
          <w:szCs w:val="28"/>
          <w:highlight w:val="none"/>
          <w:shd w:val="clear" w:color="auto" w:fill="auto"/>
        </w:rPr>
      </w:r>
    </w:p>
    <w:p>
      <w:pPr>
        <w:pStyle w:val="627"/>
        <w:jc w:val="center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</w:rPr>
        <w:t xml:space="preserve">ПРОГНОЗ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jc w:val="center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</w:rPr>
        <w:t xml:space="preserve">чрезвычайных ситуаций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jc w:val="center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</w:rPr>
        <w:t xml:space="preserve">на территории Ханты-Мансийского автономного округа - Югры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jc w:val="center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u w:val="single"/>
          <w:shd w:val="clear" w:color="auto" w:fill="auto"/>
        </w:rPr>
        <w:t xml:space="preserve">на период с 19 по 25 мая 2025 года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firstLine="567"/>
        <w:rPr>
          <w:rFonts w:ascii="PT Serif" w:hAnsi="PT Serif" w:cs="PT Serif"/>
          <w:b/>
          <w:color w:val="000000" w:themeColor="text1"/>
          <w:sz w:val="28"/>
          <w:szCs w:val="28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color w:val="000000" w:themeColor="text1"/>
          <w:sz w:val="28"/>
          <w:szCs w:val="28"/>
          <w:shd w:val="clear" w:color="auto" w:fill="auto"/>
        </w:rPr>
      </w:r>
      <w:r>
        <w:rPr>
          <w:rFonts w:ascii="PT Serif" w:hAnsi="PT Serif" w:cs="PT Serif"/>
          <w:b/>
          <w:color w:val="000000" w:themeColor="text1"/>
          <w:sz w:val="28"/>
          <w:szCs w:val="28"/>
          <w:highlight w:val="none"/>
          <w:shd w:val="clear" w:color="auto" w:fill="auto"/>
        </w:rPr>
      </w:r>
    </w:p>
    <w:p>
      <w:pPr>
        <w:pStyle w:val="627"/>
        <w:ind w:firstLine="567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  <w:lang w:val="en-US"/>
        </w:rPr>
        <w:t xml:space="preserve">I</w:t>
      </w: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</w:rPr>
        <w:t xml:space="preserve">. Оправдываемость оперативных прогнозов за прошедший период и декадного прогноза за прошедший период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716"/>
        <w:contextualSpacing/>
        <w:ind w:left="0" w:firstLine="709"/>
        <w:jc w:val="both"/>
        <w:spacing w:before="0" w:after="0" w:line="240" w:lineRule="auto"/>
        <w:tabs>
          <w:tab w:val="clear" w:pos="720" w:leader="none"/>
          <w:tab w:val="left" w:pos="1134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 w:val="0"/>
          <w:bCs w:val="0"/>
          <w:color w:val="000000" w:themeColor="text1"/>
          <w:spacing w:val="0"/>
          <w:shd w:val="clear" w:color="auto" w:fill="auto"/>
          <w:lang w:eastAsia="zh-CN" w:bidi="hi-IN"/>
        </w:rPr>
        <w:t xml:space="preserve">Средняя оправдываемость (05 - 11 мая 2025 г.) составила 94,8 %.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716"/>
        <w:contextualSpacing/>
        <w:ind w:left="0" w:firstLine="709"/>
        <w:jc w:val="both"/>
        <w:spacing w:before="0" w:after="0" w:line="240" w:lineRule="auto"/>
        <w:tabs>
          <w:tab w:val="clear" w:pos="720" w:leader="none"/>
          <w:tab w:val="left" w:pos="1276" w:leader="none"/>
        </w:tabs>
        <w:rPr>
          <w:rFonts w:ascii="PT Serif" w:hAnsi="PT Serif" w:cs="PT Serif"/>
          <w:b w:val="0"/>
          <w:bCs w:val="0"/>
          <w:color w:val="000000" w:themeColor="text1"/>
          <w:spacing w:val="0"/>
          <w:highlight w:val="none"/>
          <w:shd w:val="clear" w:color="auto" w:fill="auto"/>
        </w:rPr>
      </w:pPr>
      <w:r>
        <w:rPr>
          <w:rFonts w:ascii="PT Serif" w:hAnsi="PT Serif" w:eastAsia="PT Serif" w:cs="PT Serif"/>
          <w:b w:val="0"/>
          <w:bCs w:val="0"/>
          <w:color w:val="000000" w:themeColor="text1"/>
          <w:spacing w:val="0"/>
          <w:shd w:val="clear" w:color="auto" w:fill="auto"/>
        </w:rPr>
      </w:r>
      <w:r>
        <w:rPr>
          <w:rFonts w:ascii="PT Serif" w:hAnsi="PT Serif" w:cs="PT Serif"/>
          <w:b w:val="0"/>
          <w:bCs w:val="0"/>
          <w:color w:val="000000" w:themeColor="text1"/>
          <w:spacing w:val="0"/>
          <w:highlight w:val="none"/>
          <w:shd w:val="clear" w:color="auto" w:fill="auto"/>
        </w:rPr>
      </w:r>
    </w:p>
    <w:p>
      <w:pPr>
        <w:pStyle w:val="627"/>
        <w:ind w:firstLine="567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  <w:lang w:val="en-US"/>
        </w:rPr>
        <w:t xml:space="preserve">II</w:t>
      </w: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</w:rPr>
        <w:t xml:space="preserve">. Динамика синоптических процессов на территории ХМАО-Югры: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1"/>
        </w:numPr>
        <w:contextualSpacing/>
        <w:ind w:left="0"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Температурные отклонения от нормы, в том числе наибольшие отрицательные/положительные отклонения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left="-2" w:firstLine="703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На период </w:t>
      </w:r>
      <w:r>
        <w:rPr>
          <w:rFonts w:ascii="PT Serif" w:hAnsi="PT Serif" w:eastAsia="PT Serif" w:cs="PT Serif"/>
          <w:i/>
          <w:color w:val="000000" w:themeColor="text1"/>
          <w:position w:val="-1"/>
          <w:sz w:val="28"/>
          <w:szCs w:val="28"/>
          <w:shd w:val="clear" w:color="auto" w:fill="auto"/>
        </w:rPr>
        <w:t xml:space="preserve">с 19 по 25 мая 2025 года</w:t>
      </w:r>
      <w:r>
        <w:rPr>
          <w:rFonts w:ascii="PT Serif" w:hAnsi="PT Serif" w:eastAsia="PT Serif" w:cs="PT Serif"/>
          <w:color w:val="000000" w:themeColor="text1"/>
          <w:position w:val="-1"/>
          <w:sz w:val="28"/>
          <w:szCs w:val="24"/>
          <w:shd w:val="clear" w:color="auto" w:fill="auto"/>
        </w:rPr>
        <w:t xml:space="preserve"> среднесуточная температура воздуха, по автономному округу, прогнозируется от плюс 5,0 </w:t>
      </w: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°С</w:t>
      </w:r>
      <w:r>
        <w:rPr>
          <w:rFonts w:ascii="PT Serif" w:hAnsi="PT Serif" w:eastAsia="PT Serif" w:cs="PT Serif"/>
          <w:color w:val="000000" w:themeColor="text1"/>
          <w:position w:val="-1"/>
          <w:sz w:val="28"/>
          <w:szCs w:val="24"/>
          <w:shd w:val="clear" w:color="auto" w:fill="auto"/>
        </w:rPr>
        <w:t xml:space="preserve"> до плюс 17,0 °С, что на 1,8 </w:t>
      </w: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°С</w:t>
      </w:r>
      <w:r>
        <w:rPr>
          <w:rFonts w:ascii="PT Serif" w:hAnsi="PT Serif" w:eastAsia="PT Serif" w:cs="PT Serif"/>
          <w:color w:val="000000" w:themeColor="text1"/>
          <w:position w:val="-1"/>
          <w:sz w:val="28"/>
          <w:szCs w:val="24"/>
          <w:shd w:val="clear" w:color="auto" w:fill="auto"/>
        </w:rPr>
        <w:t xml:space="preserve"> выше нормы </w:t>
      </w: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и на 1,6 °С выше</w:t>
      </w:r>
      <w:r>
        <w:rPr>
          <w:rFonts w:ascii="PT Serif" w:hAnsi="PT Serif" w:eastAsia="PT Serif" w:cs="PT Serif"/>
          <w:color w:val="000000" w:themeColor="text1"/>
          <w:position w:val="-1"/>
          <w:sz w:val="28"/>
          <w:szCs w:val="24"/>
          <w:shd w:val="clear" w:color="auto" w:fill="auto"/>
        </w:rPr>
        <w:t xml:space="preserve"> значений АППГ. Осадки преимущественно </w:t>
      </w:r>
      <w:r>
        <w:rPr>
          <w:rFonts w:ascii="PT Serif" w:hAnsi="PT Serif" w:eastAsia="PT Serif" w:cs="PT Serif"/>
          <w:color w:val="000000" w:themeColor="text1"/>
          <w:position w:val="-1"/>
          <w:sz w:val="28"/>
          <w:szCs w:val="24"/>
          <w:shd w:val="clear" w:color="auto" w:fill="auto"/>
        </w:rPr>
        <w:t xml:space="preserve">в виде дождя ожидаются </w:t>
      </w:r>
      <w:r>
        <w:rPr>
          <w:rFonts w:ascii="PT Serif" w:hAnsi="PT Serif" w:eastAsia="PT Serif" w:cs="PT Serif"/>
          <w:color w:val="000000" w:themeColor="text1"/>
          <w:position w:val="-1"/>
          <w:sz w:val="28"/>
          <w:szCs w:val="24"/>
          <w:shd w:val="clear" w:color="auto" w:fill="auto"/>
        </w:rPr>
        <w:t xml:space="preserve">в большинстве дней периода </w:t>
      </w:r>
      <w:r>
        <w:rPr>
          <w:rFonts w:ascii="PT Serif" w:hAnsi="PT Serif" w:eastAsia="PT Serif" w:cs="PT Serif"/>
          <w:i/>
          <w:color w:val="000000" w:themeColor="text1"/>
          <w:sz w:val="28"/>
          <w:szCs w:val="28"/>
          <w:shd w:val="clear" w:color="auto" w:fill="auto"/>
        </w:rPr>
        <w:t xml:space="preserve">(рис.1-3).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hanging="2"/>
        <w:jc w:val="center"/>
        <w:spacing w:line="276" w:lineRule="auto"/>
        <w:rPr>
          <w:rFonts w:ascii="PT Serif" w:hAnsi="PT Serif" w:cs="PT Serif"/>
          <w:b/>
          <w:bCs/>
          <w:i/>
          <w:color w:val="000000" w:themeColor="text1"/>
          <w:sz w:val="24"/>
          <w:szCs w:val="24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bCs/>
          <w:i/>
          <w:color w:val="000000" w:themeColor="text1"/>
          <w:sz w:val="24"/>
          <w:szCs w:val="24"/>
          <w:shd w:val="clear" w:color="auto" w:fill="auto"/>
        </w:rPr>
      </w:r>
      <w:r>
        <w:rPr>
          <w:rFonts w:ascii="PT Serif" w:hAnsi="PT Serif" w:cs="PT Serif"/>
          <w:b/>
          <w:bCs/>
          <w:i/>
          <w:color w:val="000000" w:themeColor="text1"/>
          <w:sz w:val="24"/>
          <w:szCs w:val="24"/>
          <w:highlight w:val="none"/>
          <w:shd w:val="clear" w:color="auto" w:fill="auto"/>
        </w:rPr>
      </w:r>
    </w:p>
    <w:p>
      <w:pPr>
        <w:pStyle w:val="627"/>
        <w:ind w:hanging="2"/>
        <w:jc w:val="center"/>
        <w:spacing w:line="276" w:lineRule="auto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hd w:val="clear" w:color="auto" w:fill="auto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760085" cy="4138295"/>
                <wp:effectExtent l="0" t="0" r="0" b="0"/>
                <wp:docPr id="1" name="Изображение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Изображение1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760085" cy="4138295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53.55pt;height:325.85pt;mso-wrap-distance-left:0.00pt;mso-wrap-distance-top:0.00pt;mso-wrap-distance-right:0.00pt;mso-wrap-distance-bottom:0.00pt;" strokecolor="#000000" strokeweight="0.50pt">
                <v:path textboxrect="0,0,0,0"/>
                <v:imagedata r:id="rId9" o:title=""/>
              </v:shape>
            </w:pict>
          </mc:Fallback>
        </mc:AlternateConten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hanging="2"/>
        <w:jc w:val="center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sz w:val="24"/>
          <w:szCs w:val="28"/>
          <w:shd w:val="clear" w:color="auto" w:fill="auto"/>
        </w:rPr>
        <w:t xml:space="preserve">Рис.1. Прогноз аномалии средней температуры воздуха на предстоящий период*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spacing w:line="276" w:lineRule="auto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hd w:val="clear" w:color="auto" w:fill="auto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760085" cy="4138295"/>
                <wp:effectExtent l="0" t="0" r="0" b="0"/>
                <wp:docPr id="2" name="Изображение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Изображение2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760085" cy="4138295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453.55pt;height:325.85pt;mso-wrap-distance-left:0.00pt;mso-wrap-distance-top:0.00pt;mso-wrap-distance-right:0.00pt;mso-wrap-distance-bottom:0.00pt;" strokecolor="#000000" strokeweight="0.50pt">
                <v:path textboxrect="0,0,0,0"/>
                <v:imagedata r:id="rId10" o:title=""/>
              </v:shape>
            </w:pict>
          </mc:Fallback>
        </mc:AlternateConten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hanging="2"/>
        <w:jc w:val="center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sz w:val="24"/>
          <w:szCs w:val="28"/>
          <w:shd w:val="clear" w:color="auto" w:fill="auto"/>
        </w:rPr>
        <w:t xml:space="preserve">Рис.2. Прогноз средней температуры воздуха на предстоящий период*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hanging="2"/>
        <w:jc w:val="center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hd w:val="clear" w:color="auto" w:fill="auto"/>
        </w:rPr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hanging="2"/>
        <w:jc w:val="center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hd w:val="clear" w:color="auto" w:fill="auto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760085" cy="3325495"/>
                <wp:effectExtent l="0" t="0" r="0" b="0"/>
                <wp:docPr id="3" name="Изображение3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Изображение3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760085" cy="3325495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453.55pt;height:261.85pt;mso-wrap-distance-left:0.00pt;mso-wrap-distance-top:0.00pt;mso-wrap-distance-right:0.00pt;mso-wrap-distance-bottom:0.00pt;" strokecolor="#000000" strokeweight="0.50pt">
                <v:path textboxrect="0,0,0,0"/>
                <v:imagedata r:id="rId11" o:title=""/>
              </v:shape>
            </w:pict>
          </mc:Fallback>
        </mc:AlternateConten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hanging="2"/>
        <w:jc w:val="center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sz w:val="24"/>
          <w:szCs w:val="28"/>
          <w:shd w:val="clear" w:color="auto" w:fill="auto"/>
        </w:rPr>
        <w:t xml:space="preserve">Рис.3. Прогноз среднесуточной температуры воздуха, осадков и порывов ветра на предстоящий период**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hanging="2"/>
        <w:jc w:val="center"/>
        <w:rPr>
          <w:rFonts w:ascii="PT Serif" w:hAnsi="PT Serif" w:cs="PT Serif"/>
          <w:i/>
          <w:color w:val="000000" w:themeColor="text1"/>
          <w:sz w:val="16"/>
          <w:szCs w:val="16"/>
          <w:highlight w:val="none"/>
          <w:shd w:val="clear" w:color="auto" w:fill="auto"/>
        </w:rPr>
      </w:pPr>
      <w:r>
        <w:rPr>
          <w:rFonts w:ascii="PT Serif" w:hAnsi="PT Serif" w:eastAsia="PT Serif" w:cs="PT Serif"/>
          <w:i/>
          <w:color w:val="000000" w:themeColor="text1"/>
          <w:sz w:val="16"/>
          <w:szCs w:val="16"/>
          <w:shd w:val="clear" w:color="auto" w:fill="auto"/>
        </w:rPr>
      </w:r>
      <w:r>
        <w:rPr>
          <w:rFonts w:ascii="PT Serif" w:hAnsi="PT Serif" w:cs="PT Serif"/>
          <w:i/>
          <w:color w:val="000000" w:themeColor="text1"/>
          <w:sz w:val="16"/>
          <w:szCs w:val="16"/>
          <w:highlight w:val="none"/>
          <w:shd w:val="clear" w:color="auto" w:fill="auto"/>
        </w:rPr>
      </w:r>
    </w:p>
    <w:p>
      <w:pPr>
        <w:pStyle w:val="627"/>
        <w:ind w:left="0" w:right="0" w:firstLine="567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i/>
          <w:color w:val="000000" w:themeColor="text1"/>
          <w:szCs w:val="28"/>
          <w:shd w:val="clear" w:color="auto" w:fill="auto"/>
        </w:rPr>
        <w:t xml:space="preserve">* по данным</w:t>
      </w:r>
      <w:r>
        <w:rPr>
          <w:rFonts w:ascii="PT Serif" w:hAnsi="PT Serif" w:eastAsia="PT Serif" w:cs="PT Serif"/>
          <w:i/>
          <w:color w:val="000000" w:themeColor="text1"/>
          <w:sz w:val="18"/>
          <w:szCs w:val="21"/>
          <w:shd w:val="clear" w:color="auto" w:fill="auto"/>
        </w:rPr>
        <w:t xml:space="preserve"> </w:t>
      </w:r>
      <w:r>
        <w:rPr>
          <w:rFonts w:ascii="PT Serif" w:hAnsi="PT Serif" w:eastAsia="PT Serif" w:cs="PT Serif"/>
          <w:i/>
          <w:color w:val="000000" w:themeColor="text1"/>
          <w:szCs w:val="28"/>
          <w:shd w:val="clear" w:color="auto" w:fill="auto"/>
        </w:rPr>
        <w:t xml:space="preserve">Г</w:t>
      </w:r>
      <w:r>
        <w:rPr>
          <w:rFonts w:ascii="PT Serif" w:hAnsi="PT Serif" w:eastAsia="PT Serif" w:cs="PT Serif"/>
          <w:i/>
          <w:iCs/>
          <w:color w:val="000000" w:themeColor="text1"/>
          <w:szCs w:val="28"/>
          <w:shd w:val="clear" w:color="auto" w:fill="auto"/>
        </w:rPr>
        <w:t xml:space="preserve">идрометцентра России </w:t>
      </w:r>
      <w:r>
        <w:rPr>
          <w:rFonts w:ascii="PT Serif" w:hAnsi="PT Serif" w:eastAsia="PT Serif" w:cs="PT Serif"/>
          <w:i/>
          <w:color w:val="000000" w:themeColor="text1"/>
          <w:szCs w:val="28"/>
          <w:shd w:val="clear" w:color="auto" w:fill="auto"/>
        </w:rPr>
        <w:t xml:space="preserve">(https://www.</w:t>
      </w:r>
      <w:r>
        <w:rPr>
          <w:rFonts w:ascii="PT Serif" w:hAnsi="PT Serif" w:eastAsia="PT Serif" w:cs="PT Serif"/>
          <w:i/>
          <w:color w:val="000000" w:themeColor="text1"/>
          <w:szCs w:val="28"/>
          <w:shd w:val="clear" w:color="auto" w:fill="auto"/>
          <w:lang w:val="en-US"/>
        </w:rPr>
        <w:t xml:space="preserve">meteoinfo</w:t>
      </w:r>
      <w:r>
        <w:rPr>
          <w:rFonts w:ascii="PT Serif" w:hAnsi="PT Serif" w:eastAsia="PT Serif" w:cs="PT Serif"/>
          <w:i/>
          <w:color w:val="000000" w:themeColor="text1"/>
          <w:szCs w:val="28"/>
          <w:shd w:val="clear" w:color="auto" w:fill="auto"/>
        </w:rPr>
        <w:t xml:space="preserve">.</w:t>
      </w:r>
      <w:r>
        <w:rPr>
          <w:rFonts w:ascii="PT Serif" w:hAnsi="PT Serif" w:eastAsia="PT Serif" w:cs="PT Serif"/>
          <w:i/>
          <w:color w:val="000000" w:themeColor="text1"/>
          <w:szCs w:val="28"/>
          <w:shd w:val="clear" w:color="auto" w:fill="auto"/>
          <w:lang w:val="en-US"/>
        </w:rPr>
        <w:t xml:space="preserve">ru</w:t>
      </w:r>
      <w:r>
        <w:rPr>
          <w:rFonts w:ascii="PT Serif" w:hAnsi="PT Serif" w:eastAsia="PT Serif" w:cs="PT Serif"/>
          <w:i/>
          <w:color w:val="000000" w:themeColor="text1"/>
          <w:szCs w:val="28"/>
          <w:shd w:val="clear" w:color="auto" w:fill="auto"/>
        </w:rPr>
        <w:t xml:space="preserve">)</w:t>
      </w:r>
      <w:r>
        <w:rPr>
          <w:rFonts w:ascii="PT Serif" w:hAnsi="PT Serif" w:eastAsia="PT Serif" w:cs="PT Serif"/>
          <w:i/>
          <w:iCs/>
          <w:color w:val="000000" w:themeColor="text1"/>
          <w:szCs w:val="28"/>
          <w:shd w:val="clear" w:color="auto" w:fill="auto"/>
        </w:rPr>
        <w:t xml:space="preserve">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left="0" w:right="0" w:firstLine="567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i/>
          <w:color w:val="000000" w:themeColor="text1"/>
          <w:szCs w:val="28"/>
          <w:shd w:val="clear" w:color="auto" w:fill="auto"/>
        </w:rPr>
        <w:t xml:space="preserve">**по данным источника - погодный сервис Ventusky (https://www.ventusky.com).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716"/>
        <w:contextualSpacing/>
        <w:ind w:left="0" w:firstLine="0"/>
        <w:jc w:val="both"/>
        <w:spacing w:before="0" w:after="0" w:line="240" w:lineRule="auto"/>
        <w:tabs>
          <w:tab w:val="clear" w:pos="720" w:leader="none"/>
          <w:tab w:val="left" w:pos="1134" w:leader="none"/>
        </w:tabs>
        <w:rPr>
          <w:rFonts w:ascii="PT Serif" w:hAnsi="PT Serif" w:cs="PT Serif"/>
          <w:b w:val="0"/>
          <w:bCs w:val="0"/>
          <w:i/>
          <w:color w:val="000000" w:themeColor="text1"/>
          <w:spacing w:val="0"/>
          <w:sz w:val="24"/>
          <w:szCs w:val="24"/>
          <w:highlight w:val="none"/>
          <w:shd w:val="clear" w:color="auto" w:fill="auto"/>
        </w:rPr>
      </w:pPr>
      <w:r>
        <w:rPr>
          <w:rFonts w:ascii="PT Serif" w:hAnsi="PT Serif" w:eastAsia="PT Serif" w:cs="PT Serif"/>
          <w:b w:val="0"/>
          <w:bCs w:val="0"/>
          <w:i/>
          <w:color w:val="000000" w:themeColor="text1"/>
          <w:spacing w:val="0"/>
          <w:sz w:val="24"/>
          <w:szCs w:val="24"/>
          <w:shd w:val="clear" w:color="auto" w:fill="auto"/>
        </w:rPr>
      </w:r>
      <w:r>
        <w:rPr>
          <w:rFonts w:ascii="PT Serif" w:hAnsi="PT Serif" w:cs="PT Serif"/>
          <w:b w:val="0"/>
          <w:bCs w:val="0"/>
          <w:i/>
          <w:color w:val="000000" w:themeColor="text1"/>
          <w:spacing w:val="0"/>
          <w:sz w:val="24"/>
          <w:szCs w:val="24"/>
          <w:highlight w:val="none"/>
          <w:shd w:val="clear" w:color="auto" w:fill="auto"/>
        </w:rPr>
      </w:r>
    </w:p>
    <w:p>
      <w:pPr>
        <w:pStyle w:val="627"/>
        <w:numPr>
          <w:ilvl w:val="0"/>
          <w:numId w:val="1"/>
        </w:numPr>
        <w:contextualSpacing/>
        <w:ind w:left="0"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Прогноз сильного ветра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716"/>
        <w:contextualSpacing/>
        <w:ind w:left="0" w:firstLine="709"/>
        <w:jc w:val="both"/>
        <w:spacing w:before="0" w:after="0" w:line="240" w:lineRule="auto"/>
        <w:tabs>
          <w:tab w:val="clear" w:pos="720" w:leader="none"/>
          <w:tab w:val="left" w:pos="1134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Cs w:val="0"/>
          <w:color w:val="000000" w:themeColor="text1"/>
          <w:spacing w:val="0"/>
          <w:shd w:val="clear" w:color="auto" w:fill="auto"/>
          <w:lang w:eastAsia="zh-CN" w:bidi="hi-IN"/>
        </w:rPr>
        <w:t xml:space="preserve">Сильный ветер,</w:t>
      </w:r>
      <w:r>
        <w:rPr>
          <w:rFonts w:ascii="PT Serif" w:hAnsi="PT Serif" w:eastAsia="PT Serif" w:cs="PT Serif"/>
          <w:b w:val="0"/>
          <w:bCs w:val="0"/>
          <w:color w:val="000000" w:themeColor="text1"/>
          <w:spacing w:val="0"/>
          <w:shd w:val="clear" w:color="auto" w:fill="auto"/>
          <w:lang w:eastAsia="zh-CN" w:bidi="hi-IN"/>
        </w:rPr>
        <w:t xml:space="preserve"> на территории ХМАО – Югры, на предстоящий период </w:t>
      </w:r>
      <w:r>
        <w:rPr>
          <w:rFonts w:ascii="PT Serif" w:hAnsi="PT Serif" w:eastAsia="PT Serif" w:cs="PT Serif"/>
          <w:bCs w:val="0"/>
          <w:i/>
          <w:color w:val="000000" w:themeColor="text1"/>
          <w:spacing w:val="0"/>
          <w:shd w:val="clear" w:color="auto" w:fill="auto"/>
          <w:lang w:eastAsia="zh-CN" w:bidi="hi-IN"/>
        </w:rPr>
        <w:t xml:space="preserve">– не прогнозируется.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1"/>
        </w:numPr>
        <w:contextualSpacing/>
        <w:ind w:left="0"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Прогноз сильных осадков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716"/>
        <w:contextualSpacing/>
        <w:ind w:left="0" w:firstLine="709"/>
        <w:jc w:val="both"/>
        <w:spacing w:before="0" w:after="0" w:line="240" w:lineRule="auto"/>
        <w:tabs>
          <w:tab w:val="clear" w:pos="720" w:leader="none"/>
          <w:tab w:val="left" w:pos="1134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hd w:val="clear" w:color="auto" w:fill="auto"/>
          <w:lang w:eastAsia="zh-CN" w:bidi="hi-IN"/>
        </w:rPr>
        <w:t xml:space="preserve">Сильные осадки, </w:t>
      </w:r>
      <w:r>
        <w:rPr>
          <w:rFonts w:ascii="PT Serif" w:hAnsi="PT Serif" w:eastAsia="PT Serif" w:cs="PT Serif"/>
          <w:b w:val="0"/>
          <w:bCs w:val="0"/>
          <w:color w:val="000000" w:themeColor="text1"/>
          <w:spacing w:val="0"/>
          <w:shd w:val="clear" w:color="auto" w:fill="auto"/>
          <w:lang w:eastAsia="zh-CN" w:bidi="hi-IN"/>
        </w:rPr>
        <w:t xml:space="preserve">на территории ХМАО – Югры, на предстоящий период</w:t>
      </w:r>
      <w:r>
        <w:rPr>
          <w:rFonts w:ascii="PT Serif" w:hAnsi="PT Serif" w:eastAsia="PT Serif" w:cs="PT Serif"/>
          <w:i/>
          <w:color w:val="000000" w:themeColor="text1"/>
          <w:shd w:val="clear" w:color="auto" w:fill="auto"/>
        </w:rPr>
        <w:t xml:space="preserve"> – не прогнозируются.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1"/>
        </w:numPr>
        <w:contextualSpacing/>
        <w:ind w:left="0"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Прогноз опасных и неблагоприятных явлений погоды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717"/>
        <w:ind w:firstLine="708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bCs/>
          <w:color w:val="000000" w:themeColor="text1"/>
          <w:position w:val="-1"/>
          <w:sz w:val="28"/>
          <w:szCs w:val="28"/>
          <w:shd w:val="clear" w:color="auto" w:fill="auto"/>
          <w:lang w:eastAsia="ru-RU"/>
        </w:rPr>
        <w:t xml:space="preserve">ОЯ – </w:t>
      </w:r>
      <w:r>
        <w:rPr>
          <w:rFonts w:ascii="PT Serif" w:hAnsi="PT Serif" w:eastAsia="PT Serif" w:cs="PT Serif"/>
          <w:b/>
          <w:bCs/>
          <w:color w:val="000000" w:themeColor="text1"/>
          <w:sz w:val="28"/>
          <w:szCs w:val="28"/>
          <w:shd w:val="clear" w:color="auto" w:fill="auto"/>
        </w:rPr>
        <w:t xml:space="preserve">не прогнозируется.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716"/>
        <w:contextualSpacing/>
        <w:ind w:left="0" w:firstLine="709"/>
        <w:jc w:val="both"/>
        <w:spacing w:before="0" w:after="0" w:line="240" w:lineRule="auto"/>
        <w:tabs>
          <w:tab w:val="clear" w:pos="720" w:leader="none"/>
          <w:tab w:val="left" w:pos="1134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pacing w:val="0"/>
          <w:position w:val="-1"/>
          <w:shd w:val="clear" w:color="auto" w:fill="auto"/>
          <w:lang w:eastAsia="ru-RU"/>
        </w:rPr>
        <w:t xml:space="preserve">НЯ –</w:t>
      </w:r>
      <w:r>
        <w:rPr>
          <w:rFonts w:ascii="PT Serif" w:hAnsi="PT Serif" w:eastAsia="PT Serif" w:cs="PT Serif" w:eastAsiaTheme="minorHAnsi"/>
          <w:color w:val="000000" w:themeColor="text1"/>
          <w:spacing w:val="0"/>
          <w:shd w:val="clear" w:color="auto" w:fill="auto"/>
        </w:rPr>
        <w:t xml:space="preserve"> </w:t>
      </w:r>
      <w:r>
        <w:rPr>
          <w:rFonts w:ascii="PT Serif" w:hAnsi="PT Serif" w:eastAsia="PT Serif" w:cs="PT Serif"/>
          <w:b/>
          <w:bCs/>
          <w:color w:val="000000" w:themeColor="text1"/>
          <w:sz w:val="28"/>
          <w:szCs w:val="28"/>
          <w:shd w:val="clear" w:color="auto" w:fill="auto"/>
        </w:rPr>
        <w:t xml:space="preserve">не прогнозируется</w:t>
      </w:r>
      <w:r>
        <w:rPr>
          <w:rFonts w:ascii="PT Serif" w:hAnsi="PT Serif" w:eastAsia="PT Serif" w:cs="PT Serif"/>
          <w:color w:val="000000" w:themeColor="text1"/>
          <w:shd w:val="clear" w:color="auto" w:fill="auto"/>
          <w:lang w:eastAsia="ru-RU"/>
        </w:rPr>
        <w:t xml:space="preserve">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firstLine="567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bCs/>
          <w:color w:val="000000" w:themeColor="text1"/>
          <w:position w:val="-1"/>
          <w:sz w:val="28"/>
          <w:szCs w:val="28"/>
          <w:shd w:val="clear" w:color="auto" w:fill="auto"/>
          <w:lang w:val="en-US"/>
        </w:rPr>
        <w:t xml:space="preserve">III</w:t>
      </w:r>
      <w:r>
        <w:rPr>
          <w:rFonts w:ascii="PT Serif" w:hAnsi="PT Serif" w:eastAsia="PT Serif" w:cs="PT Serif"/>
          <w:b/>
          <w:bCs/>
          <w:color w:val="000000" w:themeColor="text1"/>
          <w:position w:val="-1"/>
          <w:sz w:val="28"/>
          <w:szCs w:val="28"/>
          <w:shd w:val="clear" w:color="auto" w:fill="auto"/>
        </w:rPr>
        <w:t xml:space="preserve">. Гидрологическая обстановка на территории ХМАО-Югры: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numPr>
          <w:ilvl w:val="0"/>
          <w:numId w:val="2"/>
        </w:numPr>
        <w:ind w:left="720" w:hanging="11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Установление ледостава и вскрытие рек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firstLine="709"/>
        <w:jc w:val="both"/>
        <w:spacing w:before="0" w:after="0" w:line="240" w:lineRule="auto"/>
        <w:tabs>
          <w:tab w:val="clear" w:pos="720" w:leader="none"/>
          <w:tab w:val="left" w:pos="1560" w:leader="dot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8"/>
          <w:shd w:val="clear" w:color="auto" w:fill="auto"/>
        </w:rPr>
        <w:t xml:space="preserve">На реках Обь, Вах, Тром-Юган, Пим, Большой Юган, Большой Салым, Вандрас, Назым, Иртыш, Конда - чисто, Аган, Северная Сосьва – местами чисто.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right="-57" w:firstLine="709"/>
        <w:jc w:val="both"/>
        <w:spacing w:before="0" w:after="0" w:line="240" w:lineRule="auto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8"/>
          <w:shd w:val="clear" w:color="auto" w:fill="auto"/>
        </w:rPr>
        <w:t xml:space="preserve">На отдельных участках рек весенние ледовые явления: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firstLine="709"/>
        <w:jc w:val="both"/>
        <w:spacing w:before="0" w:after="0" w:line="240" w:lineRule="auto"/>
        <w:tabs>
          <w:tab w:val="clear" w:pos="720" w:leader="none"/>
          <w:tab w:val="left" w:pos="1134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8"/>
          <w:shd w:val="clear" w:color="auto" w:fill="auto"/>
        </w:rPr>
        <w:t xml:space="preserve">на реке Казым – разводья, подвижка льда, ледоход;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firstLine="709"/>
        <w:jc w:val="both"/>
        <w:spacing w:before="0" w:after="0" w:line="240" w:lineRule="auto"/>
        <w:tabs>
          <w:tab w:val="clear" w:pos="720" w:leader="none"/>
          <w:tab w:val="left" w:pos="1134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8"/>
          <w:shd w:val="clear" w:color="auto" w:fill="auto"/>
        </w:rPr>
        <w:t xml:space="preserve">на реках Амня, Ляпин, Шома-Я – ледоход.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numPr>
          <w:ilvl w:val="0"/>
          <w:numId w:val="2"/>
        </w:numPr>
        <w:ind w:left="720" w:hanging="11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Уровневый режим основных рек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left="0" w:right="0" w:firstLine="709"/>
        <w:jc w:val="both"/>
        <w:spacing w:before="0" w:after="0" w:line="240" w:lineRule="auto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8"/>
          <w:shd w:val="clear" w:color="auto" w:fill="auto"/>
        </w:rPr>
        <w:t xml:space="preserve">Колебания уровней воды на реках автономного округа: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left="284" w:firstLine="425"/>
        <w:jc w:val="both"/>
        <w:spacing w:before="0" w:after="0" w:line="240" w:lineRule="auto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bCs/>
          <w:color w:val="000000" w:themeColor="text1"/>
          <w:sz w:val="28"/>
          <w:shd w:val="clear" w:color="auto" w:fill="auto"/>
        </w:rPr>
        <w:t xml:space="preserve">р. Обь</w:t>
      </w:r>
      <w:r>
        <w:rPr>
          <w:rFonts w:ascii="PT Serif" w:hAnsi="PT Serif" w:eastAsia="PT Serif" w:cs="PT Serif"/>
          <w:color w:val="000000" w:themeColor="text1"/>
          <w:sz w:val="28"/>
          <w:shd w:val="clear" w:color="auto" w:fill="auto"/>
        </w:rPr>
        <w:t xml:space="preserve"> изменения уровней за сутки от -2 до +6 см;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left="284" w:firstLine="425"/>
        <w:jc w:val="both"/>
        <w:spacing w:before="0" w:after="0" w:line="240" w:lineRule="auto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bCs/>
          <w:color w:val="000000" w:themeColor="text1"/>
          <w:sz w:val="28"/>
          <w:shd w:val="clear" w:color="auto" w:fill="auto"/>
        </w:rPr>
        <w:t xml:space="preserve">р. Иртыш</w:t>
      </w:r>
      <w:r>
        <w:rPr>
          <w:rFonts w:ascii="PT Serif" w:hAnsi="PT Serif" w:eastAsia="PT Serif" w:cs="PT Serif"/>
          <w:color w:val="000000" w:themeColor="text1"/>
          <w:sz w:val="28"/>
          <w:shd w:val="clear" w:color="auto" w:fill="auto"/>
        </w:rPr>
        <w:t xml:space="preserve"> изменение уровней за сутки от+2 до +5 см;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left="284" w:firstLine="425"/>
        <w:jc w:val="both"/>
        <w:spacing w:before="0" w:after="0" w:line="240" w:lineRule="auto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bCs/>
          <w:color w:val="000000" w:themeColor="text1"/>
          <w:sz w:val="28"/>
          <w:shd w:val="clear" w:color="auto" w:fill="auto"/>
        </w:rPr>
        <w:t xml:space="preserve">р. Конда</w:t>
      </w:r>
      <w:r>
        <w:rPr>
          <w:rFonts w:ascii="PT Serif" w:hAnsi="PT Serif" w:eastAsia="PT Serif" w:cs="PT Serif"/>
          <w:color w:val="000000" w:themeColor="text1"/>
          <w:sz w:val="28"/>
          <w:shd w:val="clear" w:color="auto" w:fill="auto"/>
        </w:rPr>
        <w:t xml:space="preserve"> изменения уровней за сутки от +2 до +8 см;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left="284" w:firstLine="425"/>
        <w:jc w:val="both"/>
        <w:spacing w:before="0" w:after="0" w:line="240" w:lineRule="auto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bCs/>
          <w:color w:val="000000" w:themeColor="text1"/>
          <w:sz w:val="28"/>
          <w:shd w:val="clear" w:color="auto" w:fill="auto"/>
        </w:rPr>
        <w:t xml:space="preserve">р. Северная Сосьва</w:t>
      </w:r>
      <w:r>
        <w:rPr>
          <w:rFonts w:ascii="PT Serif" w:hAnsi="PT Serif" w:eastAsia="PT Serif" w:cs="PT Serif"/>
          <w:color w:val="000000" w:themeColor="text1"/>
          <w:sz w:val="28"/>
          <w:shd w:val="clear" w:color="auto" w:fill="auto"/>
        </w:rPr>
        <w:t xml:space="preserve"> изменения уровней за сутки от -34 до +24 см;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left="284" w:firstLine="425"/>
        <w:jc w:val="both"/>
        <w:spacing w:before="0" w:after="0" w:line="240" w:lineRule="auto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bCs/>
          <w:color w:val="000000" w:themeColor="text1"/>
          <w:sz w:val="28"/>
          <w:shd w:val="clear" w:color="auto" w:fill="auto"/>
        </w:rPr>
        <w:t xml:space="preserve">р. Большой Юган</w:t>
      </w:r>
      <w:r>
        <w:rPr>
          <w:rFonts w:ascii="PT Serif" w:hAnsi="PT Serif" w:eastAsia="PT Serif" w:cs="PT Serif"/>
          <w:color w:val="000000" w:themeColor="text1"/>
          <w:sz w:val="28"/>
          <w:shd w:val="clear" w:color="auto" w:fill="auto"/>
        </w:rPr>
        <w:t xml:space="preserve"> изменения уровней за сутки от -1 до +1 см;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left="284" w:firstLine="425"/>
        <w:jc w:val="both"/>
        <w:spacing w:before="0" w:after="0" w:line="240" w:lineRule="auto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bCs/>
          <w:color w:val="000000" w:themeColor="text1"/>
          <w:sz w:val="28"/>
          <w:shd w:val="clear" w:color="auto" w:fill="auto"/>
        </w:rPr>
        <w:t xml:space="preserve">р. Вах</w:t>
      </w:r>
      <w:r>
        <w:rPr>
          <w:rFonts w:ascii="PT Serif" w:hAnsi="PT Serif" w:eastAsia="PT Serif" w:cs="PT Serif"/>
          <w:color w:val="000000" w:themeColor="text1"/>
          <w:sz w:val="28"/>
          <w:shd w:val="clear" w:color="auto" w:fill="auto"/>
        </w:rPr>
        <w:t xml:space="preserve"> изменения уровней за сутки от 0 до +8 см;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right="-57" w:firstLine="709"/>
        <w:jc w:val="both"/>
        <w:spacing w:before="0" w:after="0" w:line="240" w:lineRule="auto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bCs/>
          <w:color w:val="000000" w:themeColor="text1"/>
          <w:position w:val="-1"/>
          <w:sz w:val="28"/>
          <w:shd w:val="clear" w:color="auto" w:fill="auto"/>
        </w:rPr>
        <w:t xml:space="preserve">р. </w:t>
      </w:r>
      <w:r>
        <w:rPr>
          <w:rFonts w:ascii="PT Serif" w:hAnsi="PT Serif" w:eastAsia="PT Serif" w:cs="PT Serif"/>
          <w:b/>
          <w:bCs/>
          <w:color w:val="000000" w:themeColor="text1"/>
          <w:sz w:val="28"/>
          <w:shd w:val="clear" w:color="auto" w:fill="auto"/>
        </w:rPr>
        <w:t xml:space="preserve">Ляпин</w:t>
      </w:r>
      <w:r>
        <w:rPr>
          <w:rFonts w:ascii="PT Serif" w:hAnsi="PT Serif" w:eastAsia="PT Serif" w:cs="PT Serif"/>
          <w:color w:val="000000" w:themeColor="text1"/>
          <w:sz w:val="28"/>
          <w:shd w:val="clear" w:color="auto" w:fill="auto"/>
        </w:rPr>
        <w:t xml:space="preserve"> изменение уровня за сутки +12 см.</w:t>
      </w: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716"/>
        <w:contextualSpacing/>
        <w:ind w:left="709" w:hanging="709"/>
        <w:jc w:val="both"/>
        <w:spacing w:before="0" w:after="0" w:line="240" w:lineRule="auto"/>
        <w:tabs>
          <w:tab w:val="clear" w:pos="720" w:leader="none"/>
          <w:tab w:val="left" w:pos="1134" w:leader="none"/>
        </w:tabs>
        <w:rPr>
          <w:rFonts w:ascii="PT Serif" w:hAnsi="PT Serif" w:cs="PT Serif"/>
          <w:bCs w:val="0"/>
          <w:i/>
          <w:color w:val="000000" w:themeColor="text1"/>
          <w:spacing w:val="0"/>
          <w:sz w:val="16"/>
          <w:szCs w:val="16"/>
          <w:highlight w:val="none"/>
          <w:shd w:val="clear" w:color="auto" w:fill="auto"/>
        </w:rPr>
      </w:pPr>
      <w:r>
        <w:rPr>
          <w:rFonts w:ascii="PT Serif" w:hAnsi="PT Serif" w:eastAsia="PT Serif" w:cs="PT Serif"/>
          <w:bCs w:val="0"/>
          <w:i/>
          <w:color w:val="000000" w:themeColor="text1"/>
          <w:spacing w:val="0"/>
          <w:sz w:val="16"/>
          <w:szCs w:val="16"/>
          <w:shd w:val="clear" w:color="auto" w:fill="auto"/>
        </w:rPr>
      </w:r>
      <w:r>
        <w:rPr>
          <w:rFonts w:ascii="PT Serif" w:hAnsi="PT Serif" w:cs="PT Serif"/>
          <w:bCs w:val="0"/>
          <w:i/>
          <w:color w:val="000000" w:themeColor="text1"/>
          <w:spacing w:val="0"/>
          <w:sz w:val="16"/>
          <w:szCs w:val="16"/>
          <w:highlight w:val="none"/>
          <w:shd w:val="clear" w:color="auto" w:fill="auto"/>
        </w:rPr>
      </w:r>
    </w:p>
    <w:p>
      <w:pPr>
        <w:pStyle w:val="627"/>
        <w:ind w:firstLine="567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bCs/>
          <w:color w:val="000000" w:themeColor="text1"/>
          <w:position w:val="-1"/>
          <w:sz w:val="28"/>
          <w:szCs w:val="28"/>
          <w:shd w:val="clear" w:color="auto" w:fill="auto"/>
          <w:lang w:val="en-US"/>
        </w:rPr>
        <w:t xml:space="preserve">IV</w:t>
      </w:r>
      <w:r>
        <w:rPr>
          <w:rFonts w:ascii="PT Serif" w:hAnsi="PT Serif" w:eastAsia="PT Serif" w:cs="PT Serif"/>
          <w:b/>
          <w:bCs/>
          <w:color w:val="000000" w:themeColor="text1"/>
          <w:position w:val="-1"/>
          <w:sz w:val="28"/>
          <w:szCs w:val="28"/>
          <w:shd w:val="clear" w:color="auto" w:fill="auto"/>
        </w:rPr>
        <w:t xml:space="preserve">. Лесопожарная обстановка на территории ХМАО-Югры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firstLine="567"/>
        <w:jc w:val="both"/>
        <w:rPr>
          <w:rFonts w:ascii="PT Serif" w:hAnsi="PT Serif" w:cs="PT Serif"/>
          <w:b/>
          <w:color w:val="000000" w:themeColor="text1"/>
          <w:sz w:val="16"/>
          <w:szCs w:val="16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color w:val="000000" w:themeColor="text1"/>
          <w:sz w:val="16"/>
          <w:szCs w:val="16"/>
          <w:shd w:val="clear" w:color="auto" w:fill="auto"/>
        </w:rPr>
      </w:r>
      <w:r>
        <w:rPr>
          <w:rFonts w:ascii="PT Serif" w:hAnsi="PT Serif" w:cs="PT Serif"/>
          <w:b/>
          <w:color w:val="000000" w:themeColor="text1"/>
          <w:sz w:val="16"/>
          <w:szCs w:val="16"/>
          <w:highlight w:val="none"/>
          <w:shd w:val="clear" w:color="auto" w:fill="auto"/>
        </w:rPr>
      </w:r>
    </w:p>
    <w:p>
      <w:pPr>
        <w:pStyle w:val="689"/>
        <w:numPr>
          <w:ilvl w:val="0"/>
          <w:numId w:val="3"/>
        </w:numPr>
        <w:ind w:left="0" w:firstLine="709"/>
        <w:jc w:val="both"/>
        <w:tabs>
          <w:tab w:val="clear" w:pos="720" w:leader="none"/>
          <w:tab w:val="left" w:pos="851" w:leader="none"/>
          <w:tab w:val="left" w:pos="993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bCs/>
          <w:i/>
          <w:iCs/>
          <w:color w:val="000000" w:themeColor="text1"/>
          <w:sz w:val="28"/>
          <w:szCs w:val="28"/>
          <w:shd w:val="clear" w:color="auto" w:fill="auto"/>
        </w:rPr>
        <w:t xml:space="preserve"> </w:t>
      </w:r>
      <w:r>
        <w:rPr>
          <w:rFonts w:ascii="PT Serif" w:hAnsi="PT Serif" w:eastAsia="PT Serif" w:cs="PT Serif"/>
          <w:b/>
          <w:bCs/>
          <w:i/>
          <w:iCs/>
          <w:color w:val="000000" w:themeColor="text1"/>
          <w:sz w:val="28"/>
          <w:szCs w:val="28"/>
          <w:shd w:val="clear" w:color="auto" w:fill="auto"/>
        </w:rPr>
        <w:t xml:space="preserve">Наиболее сложная лесопожарная обстановка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firstLine="709"/>
        <w:jc w:val="both"/>
        <w:tabs>
          <w:tab w:val="clear" w:pos="720" w:leader="none"/>
          <w:tab w:val="left" w:pos="851" w:leader="none"/>
          <w:tab w:val="left" w:pos="993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</w:rPr>
        <w:t xml:space="preserve">За отчётный период, на территории Ханты-Мансийского автономного округа – Югры, </w:t>
      </w: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сложной обстановки, обусловленной лесными пожарами, способной достигнуть масштабов ЧС локального уровня и выше, </w:t>
      </w:r>
      <w:r>
        <w:rPr>
          <w:rFonts w:ascii="PT Serif" w:hAnsi="PT Serif" w:eastAsia="PT Serif" w:cs="PT Serif"/>
          <w:b/>
          <w:color w:val="000000" w:themeColor="text1"/>
          <w:sz w:val="28"/>
          <w:szCs w:val="28"/>
          <w:shd w:val="clear" w:color="auto" w:fill="auto"/>
        </w:rPr>
        <w:t xml:space="preserve">не регистрировалось.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numPr>
          <w:ilvl w:val="0"/>
          <w:numId w:val="3"/>
        </w:numPr>
        <w:ind w:left="0" w:firstLine="709"/>
        <w:jc w:val="both"/>
        <w:tabs>
          <w:tab w:val="clear" w:pos="720" w:leader="none"/>
          <w:tab w:val="left" w:pos="851" w:leader="none"/>
          <w:tab w:val="left" w:pos="993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bCs/>
          <w:i/>
          <w:iCs/>
          <w:color w:val="000000" w:themeColor="text1"/>
          <w:sz w:val="28"/>
          <w:szCs w:val="28"/>
          <w:shd w:val="clear" w:color="auto" w:fill="auto"/>
        </w:rPr>
        <w:t xml:space="preserve"> </w:t>
      </w:r>
      <w:r>
        <w:rPr>
          <w:rFonts w:ascii="PT Serif" w:hAnsi="PT Serif" w:eastAsia="PT Serif" w:cs="PT Serif"/>
          <w:b/>
          <w:bCs/>
          <w:i/>
          <w:iCs/>
          <w:color w:val="000000" w:themeColor="text1"/>
          <w:sz w:val="28"/>
          <w:szCs w:val="28"/>
          <w:shd w:val="clear" w:color="auto" w:fill="auto"/>
          <w:lang w:val="en-US"/>
        </w:rPr>
        <w:t xml:space="preserve">Параметры пожарной опасности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firstLine="709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Всего с начала пожароопасного периода </w:t>
      </w: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</w:rPr>
        <w:t xml:space="preserve">2025</w:t>
      </w: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 года на территории автономного округа зарегистрировано: </w:t>
      </w: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  <w:lang w:eastAsia="zh-CN" w:bidi="hi-IN"/>
        </w:rPr>
        <w:t xml:space="preserve">7 </w:t>
      </w: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  <w:lang w:eastAsia="zh-CN" w:bidi="hi-IN"/>
        </w:rPr>
        <w:t xml:space="preserve">ландшафтных пожаров, на площади </w:t>
      </w: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  <w:lang w:eastAsia="zh-CN" w:bidi="hi-IN"/>
        </w:rPr>
        <w:t xml:space="preserve">101,93 га</w:t>
      </w: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  <w:lang w:eastAsia="zh-CN" w:bidi="hi-IN"/>
        </w:rPr>
        <w:t xml:space="preserve">, в том числе </w:t>
      </w:r>
      <w:r>
        <w:rPr>
          <w:rFonts w:ascii="PT Serif" w:hAnsi="PT Serif" w:eastAsia="PT Serif" w:cs="PT Serif"/>
          <w:b/>
          <w:bCs/>
          <w:color w:val="000000" w:themeColor="text1"/>
          <w:position w:val="-1"/>
          <w:sz w:val="28"/>
          <w:szCs w:val="28"/>
          <w:shd w:val="clear" w:color="auto" w:fill="auto"/>
          <w:lang w:eastAsia="zh-CN" w:bidi="hi-IN"/>
        </w:rPr>
        <w:t xml:space="preserve">1</w:t>
      </w: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  <w:lang w:eastAsia="zh-CN" w:bidi="hi-IN"/>
        </w:rPr>
        <w:t xml:space="preserve"> лесной пожар, на площади </w:t>
      </w: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  <w:lang w:eastAsia="zh-CN" w:bidi="hi-IN"/>
        </w:rPr>
        <w:t xml:space="preserve">0,03 га, АППГ 13</w:t>
      </w: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  <w:lang w:eastAsia="zh-CN" w:bidi="hi-IN"/>
        </w:rPr>
        <w:t xml:space="preserve"> ландшафтных пожаров, на площади </w:t>
      </w: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  <w:lang w:eastAsia="zh-CN" w:bidi="hi-IN"/>
        </w:rPr>
        <w:t xml:space="preserve">201,20 га</w:t>
      </w: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  <w:lang w:eastAsia="zh-CN" w:bidi="hi-IN"/>
        </w:rPr>
        <w:t xml:space="preserve"> </w:t>
      </w:r>
      <w:r>
        <w:rPr>
          <w:rFonts w:ascii="PT Serif" w:hAnsi="PT Serif" w:eastAsia="PT Serif" w:cs="PT Serif"/>
          <w:i/>
          <w:color w:val="000000" w:themeColor="text1"/>
          <w:sz w:val="28"/>
          <w:szCs w:val="28"/>
          <w:shd w:val="clear" w:color="auto" w:fill="auto"/>
        </w:rPr>
        <w:t xml:space="preserve">(таблица 1)</w:t>
      </w: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</w:rPr>
        <w:t xml:space="preserve">.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firstLine="709"/>
        <w:jc w:val="both"/>
        <w:rPr>
          <w:rFonts w:ascii="PT Serif" w:hAnsi="PT Serif" w:cs="PT Serif"/>
          <w:color w:val="000000" w:themeColor="text1"/>
          <w:sz w:val="16"/>
          <w:szCs w:val="16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16"/>
          <w:szCs w:val="16"/>
          <w:shd w:val="clear" w:color="auto" w:fill="auto"/>
        </w:rPr>
      </w:r>
      <w:r>
        <w:rPr>
          <w:rFonts w:ascii="PT Serif" w:hAnsi="PT Serif" w:cs="PT Serif"/>
          <w:color w:val="000000" w:themeColor="text1"/>
          <w:sz w:val="16"/>
          <w:szCs w:val="16"/>
          <w:highlight w:val="none"/>
          <w:shd w:val="clear" w:color="auto" w:fill="auto"/>
        </w:rPr>
      </w:r>
    </w:p>
    <w:p>
      <w:pPr>
        <w:pStyle w:val="627"/>
        <w:jc w:val="center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sz w:val="24"/>
          <w:szCs w:val="24"/>
          <w:shd w:val="clear" w:color="auto" w:fill="auto"/>
        </w:rPr>
        <w:t xml:space="preserve">Таблица 1.</w:t>
      </w:r>
      <w:r>
        <w:rPr>
          <w:rFonts w:ascii="PT Serif" w:hAnsi="PT Serif" w:eastAsia="PT Serif" w:cs="PT Serif"/>
          <w:b/>
          <w:color w:val="000000" w:themeColor="text1"/>
          <w:sz w:val="24"/>
          <w:szCs w:val="24"/>
          <w:shd w:val="clear" w:color="auto" w:fill="auto"/>
        </w:rPr>
        <w:t xml:space="preserve"> Сведения по природным пожарам на территории ХМАО – Югры по состоянию на 23-00 час. (мест.)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tbl>
      <w:tblPr>
        <w:tblW w:w="9961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59"/>
        <w:gridCol w:w="603"/>
        <w:gridCol w:w="995"/>
        <w:gridCol w:w="421"/>
        <w:gridCol w:w="1141"/>
        <w:gridCol w:w="424"/>
        <w:gridCol w:w="981"/>
        <w:gridCol w:w="427"/>
        <w:gridCol w:w="849"/>
        <w:gridCol w:w="532"/>
        <w:gridCol w:w="927"/>
      </w:tblGrid>
      <w:tr>
        <w:tblPrEx/>
        <w:trPr>
          <w:trHeight w:val="44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restart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spacing w:line="1" w:lineRule="atLeast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/>
                <w:bCs/>
                <w:i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Природные пожары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98" w:type="dxa"/>
            <w:vAlign w:val="center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right="-108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/>
                <w:color w:val="000000" w:themeColor="text1"/>
                <w:position w:val="-1"/>
                <w:sz w:val="16"/>
                <w:szCs w:val="16"/>
                <w:shd w:val="clear" w:color="auto" w:fill="auto"/>
              </w:rPr>
              <w:t xml:space="preserve">всего с начала сезона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Align w:val="center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right="-108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/>
                <w:color w:val="000000" w:themeColor="text1"/>
                <w:position w:val="-1"/>
                <w:sz w:val="16"/>
                <w:szCs w:val="16"/>
                <w:shd w:val="clear" w:color="auto" w:fill="auto"/>
              </w:rPr>
              <w:t xml:space="preserve">зарегистрировано за сутки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vAlign w:val="center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/>
                <w:color w:val="000000" w:themeColor="text1"/>
                <w:position w:val="-1"/>
                <w:sz w:val="16"/>
                <w:szCs w:val="16"/>
                <w:shd w:val="clear" w:color="auto" w:fill="auto"/>
              </w:rPr>
              <w:t xml:space="preserve">действует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/>
                <w:color w:val="000000" w:themeColor="text1"/>
                <w:position w:val="-1"/>
                <w:sz w:val="16"/>
                <w:szCs w:val="16"/>
                <w:shd w:val="clear" w:color="auto" w:fill="auto"/>
              </w:rPr>
              <w:t xml:space="preserve">в т.ч. локализовано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59" w:type="dxa"/>
            <w:vAlign w:val="center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/>
                <w:color w:val="000000" w:themeColor="text1"/>
                <w:position w:val="-1"/>
                <w:sz w:val="16"/>
                <w:szCs w:val="16"/>
                <w:shd w:val="clear" w:color="auto" w:fill="auto"/>
              </w:rPr>
              <w:t xml:space="preserve">из них ликвидировано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  <w:tr>
        <w:tblPrEx/>
        <w:trPr>
          <w:cantSplit/>
          <w:trHeight w:val="794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highlight w:val="none"/>
                <w:shd w:val="clear" w:color="auto" w:fill="auto"/>
              </w:rPr>
              <w:outlineLvl w:val="0"/>
            </w:pPr>
            <w:r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shd w:val="clear" w:color="auto" w:fill="auto"/>
              </w:rPr>
            </w:r>
            <w:r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603" w:type="dxa"/>
            <w:vAlign w:val="center"/>
            <w:textDirection w:val="btLr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/>
                <w:bCs/>
                <w:i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кол-во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995" w:type="dxa"/>
            <w:vAlign w:val="center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/>
                <w:bCs/>
                <w:i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пл, га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421" w:type="dxa"/>
            <w:vAlign w:val="center"/>
            <w:textDirection w:val="btLr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/>
                <w:bCs/>
                <w:i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кол-во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141" w:type="dxa"/>
            <w:vAlign w:val="center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/>
                <w:bCs/>
                <w:i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пл, га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424" w:type="dxa"/>
            <w:vAlign w:val="center"/>
            <w:textDirection w:val="btLr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/>
                <w:bCs/>
                <w:i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кол-во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981" w:type="dxa"/>
            <w:vAlign w:val="center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/>
                <w:bCs/>
                <w:i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пл, га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427" w:type="dxa"/>
            <w:vAlign w:val="center"/>
            <w:textDirection w:val="btLr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/>
                <w:bCs/>
                <w:i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кол-во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/>
                <w:bCs/>
                <w:i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пл, га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532" w:type="dxa"/>
            <w:vAlign w:val="center"/>
            <w:textDirection w:val="btLr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/>
                <w:bCs/>
                <w:i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кол-во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vAlign w:val="center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/>
                <w:bCs/>
                <w:i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пл, га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  <w:tr>
        <w:tblPrEx/>
        <w:trPr>
          <w:trHeight w:val="227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bottom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Всего по ХМАО-Югре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sz w:val="18"/>
                <w:szCs w:val="18"/>
                <w:shd w:val="clear" w:color="auto" w:fill="auto"/>
              </w:rPr>
              <w:t xml:space="preserve">7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995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101,93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421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sz w:val="18"/>
                <w:szCs w:val="18"/>
                <w:shd w:val="clear" w:color="auto" w:fill="auto"/>
              </w:rPr>
              <w:t xml:space="preserve">0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141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0,00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424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sz w:val="18"/>
                <w:szCs w:val="18"/>
                <w:shd w:val="clear" w:color="auto" w:fill="auto"/>
              </w:rPr>
              <w:t xml:space="preserve">0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981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0,00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427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0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0,00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532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0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0,00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  <w:tr>
        <w:tblPrEx/>
        <w:trPr>
          <w:trHeight w:val="219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bottom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В том числе лесные пожары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1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995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0,03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421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0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141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0,00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424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0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981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0,00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427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0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0,00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532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0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0,00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  <w:tr>
        <w:tblPrEx/>
        <w:trPr>
          <w:trHeight w:val="219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bottom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/>
                <w:bCs/>
                <w:i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из них на ООПТ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-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995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  <w:lang w:val="en-US"/>
              </w:rPr>
              <w:t xml:space="preserve">-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421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-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141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-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424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-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981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-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427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-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-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532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-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-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  <w:tr>
        <w:tblPrEx/>
        <w:trPr>
          <w:trHeight w:val="22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bottom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/>
                <w:bCs/>
                <w:i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АППГ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sz w:val="18"/>
                <w:szCs w:val="18"/>
                <w:shd w:val="clear" w:color="auto" w:fill="auto"/>
              </w:rPr>
              <w:t xml:space="preserve">13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95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201,20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gridSpan w:val="8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702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bCs/>
                <w:color w:val="000000" w:themeColor="text1"/>
                <w:sz w:val="18"/>
                <w:szCs w:val="18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sz w:val="18"/>
                <w:szCs w:val="18"/>
                <w:shd w:val="clear" w:color="auto" w:fill="auto"/>
              </w:rPr>
            </w:r>
            <w:r>
              <w:rPr>
                <w:rFonts w:ascii="PT Serif" w:hAnsi="PT Serif" w:cs="PT Serif"/>
                <w:bCs/>
                <w:color w:val="000000" w:themeColor="text1"/>
                <w:sz w:val="18"/>
                <w:szCs w:val="18"/>
                <w:highlight w:val="none"/>
                <w:shd w:val="clear" w:color="auto" w:fill="auto"/>
              </w:rPr>
            </w:r>
          </w:p>
        </w:tc>
      </w:tr>
      <w:tr>
        <w:tblPrEx/>
        <w:trPr>
          <w:trHeight w:val="22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bottom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/>
                <w:bCs/>
                <w:i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В том числе лесные пожары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sz w:val="18"/>
                <w:szCs w:val="18"/>
                <w:shd w:val="clear" w:color="auto" w:fill="auto"/>
              </w:rPr>
              <w:t xml:space="preserve">1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95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sz w:val="18"/>
                <w:szCs w:val="18"/>
                <w:shd w:val="clear" w:color="auto" w:fill="auto"/>
              </w:rPr>
              <w:t xml:space="preserve">7,0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gridSpan w:val="8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702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bCs/>
                <w:color w:val="000000" w:themeColor="text1"/>
                <w:sz w:val="18"/>
                <w:szCs w:val="18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sz w:val="18"/>
                <w:szCs w:val="18"/>
                <w:shd w:val="clear" w:color="auto" w:fill="auto"/>
              </w:rPr>
            </w:r>
            <w:r>
              <w:rPr>
                <w:rFonts w:ascii="PT Serif" w:hAnsi="PT Serif" w:cs="PT Serif"/>
                <w:bCs/>
                <w:color w:val="000000" w:themeColor="text1"/>
                <w:sz w:val="18"/>
                <w:szCs w:val="18"/>
                <w:highlight w:val="none"/>
                <w:shd w:val="clear" w:color="auto" w:fill="auto"/>
              </w:rPr>
            </w:r>
          </w:p>
        </w:tc>
      </w:tr>
      <w:tr>
        <w:tblPrEx/>
        <w:trPr>
          <w:trHeight w:val="22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bottom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/>
                <w:bCs/>
                <w:i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из них на ООПТ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-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95" w:type="dxa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position w:val="-1"/>
                <w:sz w:val="18"/>
                <w:szCs w:val="18"/>
                <w:shd w:val="clear" w:color="auto" w:fill="auto"/>
              </w:rPr>
              <w:t xml:space="preserve">-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gridSpan w:val="8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702" w:type="dxa"/>
            <w:vAlign w:val="bottom"/>
            <w:textDirection w:val="lrTb"/>
            <w:noWrap w:val="false"/>
          </w:tcPr>
          <w:p>
            <w:pPr>
              <w:pStyle w:val="627"/>
              <w:numPr>
                <w:ilvl w:val="0"/>
                <w:numId w:val="0"/>
              </w:numPr>
              <w:ind w:left="0" w:hanging="2"/>
              <w:rPr>
                <w:rFonts w:ascii="PT Serif" w:hAnsi="PT Serif" w:cs="PT Serif"/>
                <w:bCs/>
                <w:color w:val="000000" w:themeColor="text1"/>
                <w:sz w:val="18"/>
                <w:szCs w:val="18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bCs/>
                <w:color w:val="000000" w:themeColor="text1"/>
                <w:sz w:val="18"/>
                <w:szCs w:val="18"/>
                <w:shd w:val="clear" w:color="auto" w:fill="auto"/>
              </w:rPr>
            </w:r>
            <w:r>
              <w:rPr>
                <w:rFonts w:ascii="PT Serif" w:hAnsi="PT Serif" w:cs="PT Serif"/>
                <w:bCs/>
                <w:color w:val="000000" w:themeColor="text1"/>
                <w:sz w:val="18"/>
                <w:szCs w:val="18"/>
                <w:highlight w:val="none"/>
                <w:shd w:val="clear" w:color="auto" w:fill="auto"/>
              </w:rPr>
            </w:r>
          </w:p>
        </w:tc>
      </w:tr>
    </w:tbl>
    <w:p>
      <w:pPr>
        <w:pStyle w:val="689"/>
        <w:ind w:left="720" w:hanging="218"/>
        <w:rPr>
          <w:rFonts w:ascii="PT Serif" w:hAnsi="PT Serif" w:cs="PT Serif"/>
          <w:b/>
          <w:i/>
          <w:color w:val="000000" w:themeColor="text1"/>
          <w:sz w:val="16"/>
          <w:szCs w:val="16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sz w:val="16"/>
          <w:szCs w:val="16"/>
          <w:shd w:val="clear" w:color="auto" w:fill="auto"/>
        </w:rPr>
      </w:r>
      <w:r>
        <w:rPr>
          <w:rFonts w:ascii="PT Serif" w:hAnsi="PT Serif" w:cs="PT Serif"/>
          <w:b/>
          <w:i/>
          <w:color w:val="000000" w:themeColor="text1"/>
          <w:sz w:val="16"/>
          <w:szCs w:val="16"/>
          <w:highlight w:val="none"/>
          <w:shd w:val="clear" w:color="auto" w:fill="auto"/>
        </w:rPr>
      </w:r>
    </w:p>
    <w:p>
      <w:pPr>
        <w:pStyle w:val="689"/>
        <w:numPr>
          <w:ilvl w:val="0"/>
          <w:numId w:val="3"/>
        </w:numPr>
        <w:ind w:left="0" w:firstLine="709"/>
        <w:jc w:val="both"/>
        <w:tabs>
          <w:tab w:val="clear" w:pos="720" w:leader="none"/>
          <w:tab w:val="left" w:pos="851" w:leader="none"/>
          <w:tab w:val="left" w:pos="993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bCs/>
          <w:i/>
          <w:iCs/>
          <w:color w:val="000000" w:themeColor="text1"/>
          <w:sz w:val="28"/>
          <w:szCs w:val="28"/>
          <w:shd w:val="clear" w:color="auto" w:fill="auto"/>
        </w:rPr>
        <w:t xml:space="preserve"> </w:t>
      </w:r>
      <w:r>
        <w:rPr>
          <w:rFonts w:ascii="PT Serif" w:hAnsi="PT Serif" w:eastAsia="PT Serif" w:cs="PT Serif"/>
          <w:b/>
          <w:bCs/>
          <w:i/>
          <w:iCs/>
          <w:color w:val="000000" w:themeColor="text1"/>
          <w:sz w:val="28"/>
          <w:szCs w:val="28"/>
          <w:shd w:val="clear" w:color="auto" w:fill="auto"/>
        </w:rPr>
        <w:t xml:space="preserve">Статистические данные о количестве возникших очагов природных пожаров за прошедший период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firstLine="709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</w:rPr>
        <w:t xml:space="preserve">За отчётный период зарегистрирован </w:t>
      </w:r>
      <w:r>
        <w:rPr>
          <w:rFonts w:ascii="PT Serif" w:hAnsi="PT Serif" w:eastAsia="PT Serif" w:cs="PT Serif"/>
          <w:b/>
          <w:bCs/>
          <w:color w:val="000000" w:themeColor="text1"/>
          <w:sz w:val="28"/>
          <w:szCs w:val="28"/>
          <w:shd w:val="clear" w:color="auto" w:fill="auto"/>
        </w:rPr>
        <w:t xml:space="preserve">1</w:t>
      </w: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</w:rPr>
        <w:t xml:space="preserve"> ландшафтный пожар на площади </w:t>
      </w:r>
      <w:r>
        <w:rPr>
          <w:rFonts w:ascii="PT Serif" w:hAnsi="PT Serif" w:eastAsia="PT Serif" w:cs="PT Serif"/>
          <w:b/>
          <w:bCs/>
          <w:color w:val="000000" w:themeColor="text1"/>
          <w:sz w:val="28"/>
          <w:szCs w:val="28"/>
          <w:shd w:val="clear" w:color="auto" w:fill="auto"/>
        </w:rPr>
        <w:t xml:space="preserve">11,6 га</w:t>
      </w: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</w:rPr>
        <w:t xml:space="preserve"> (</w:t>
      </w:r>
      <w:r>
        <w:rPr>
          <w:rFonts w:ascii="PT Serif" w:hAnsi="PT Serif" w:eastAsia="PT Serif" w:cs="PT Serif"/>
          <w:b/>
          <w:color w:val="000000" w:themeColor="text1"/>
          <w:sz w:val="28"/>
          <w:szCs w:val="28"/>
          <w:shd w:val="clear" w:color="auto" w:fill="auto"/>
        </w:rPr>
        <w:t xml:space="preserve">АППГ</w:t>
      </w: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</w:rPr>
        <w:t xml:space="preserve"> – </w:t>
      </w:r>
      <w:r>
        <w:rPr>
          <w:rFonts w:ascii="PT Serif" w:hAnsi="PT Serif" w:eastAsia="PT Serif" w:cs="PT Serif"/>
          <w:b/>
          <w:bCs/>
          <w:color w:val="000000" w:themeColor="text1"/>
          <w:sz w:val="28"/>
          <w:szCs w:val="28"/>
          <w:shd w:val="clear" w:color="auto" w:fill="auto"/>
        </w:rPr>
        <w:t xml:space="preserve">1</w:t>
      </w: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</w:rPr>
        <w:t xml:space="preserve"> ландшафтный пожар, на площади </w:t>
      </w:r>
      <w:r>
        <w:rPr>
          <w:rFonts w:ascii="PT Serif" w:hAnsi="PT Serif" w:eastAsia="PT Serif" w:cs="PT Serif"/>
          <w:b/>
          <w:bCs/>
          <w:color w:val="000000" w:themeColor="text1"/>
          <w:sz w:val="28"/>
          <w:szCs w:val="28"/>
          <w:shd w:val="clear" w:color="auto" w:fill="auto"/>
        </w:rPr>
        <w:t xml:space="preserve">10,0 га</w:t>
      </w: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</w:rPr>
        <w:t xml:space="preserve">).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numPr>
          <w:ilvl w:val="0"/>
          <w:numId w:val="3"/>
        </w:numPr>
        <w:ind w:left="0" w:firstLine="709"/>
        <w:jc w:val="both"/>
        <w:tabs>
          <w:tab w:val="clear" w:pos="720" w:leader="none"/>
          <w:tab w:val="left" w:pos="851" w:leader="none"/>
          <w:tab w:val="left" w:pos="993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bCs/>
          <w:i/>
          <w:iCs/>
          <w:color w:val="000000" w:themeColor="text1"/>
          <w:sz w:val="28"/>
          <w:szCs w:val="28"/>
          <w:shd w:val="clear" w:color="auto" w:fill="auto"/>
        </w:rPr>
        <w:t xml:space="preserve"> </w:t>
      </w:r>
      <w:r>
        <w:rPr>
          <w:rFonts w:ascii="PT Serif" w:hAnsi="PT Serif" w:eastAsia="PT Serif" w:cs="PT Serif"/>
          <w:b/>
          <w:bCs/>
          <w:i/>
          <w:iCs/>
          <w:color w:val="000000" w:themeColor="text1"/>
          <w:sz w:val="28"/>
          <w:szCs w:val="28"/>
          <w:shd w:val="clear" w:color="auto" w:fill="auto"/>
        </w:rPr>
        <w:t xml:space="preserve">Экологическая обстановка, связанная с задымлением населенных пунктов от действующих природных пожаров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left="0" w:right="0" w:firstLine="709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</w:rPr>
        <w:t xml:space="preserve">Экологическая обстановка на территории автономного округа удовлетворительная. За отчётный период, на территории Ханты-Мансийского автономного округа – Югры, задымлений населенных пунктов </w:t>
      </w:r>
      <w:r>
        <w:rPr>
          <w:rFonts w:ascii="PT Serif" w:hAnsi="PT Serif" w:eastAsia="PT Serif" w:cs="PT Serif"/>
          <w:b/>
          <w:color w:val="000000" w:themeColor="text1"/>
          <w:sz w:val="28"/>
          <w:szCs w:val="28"/>
          <w:shd w:val="clear" w:color="auto" w:fill="auto"/>
        </w:rPr>
        <w:t xml:space="preserve">не регистрировалось.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firstLine="567"/>
        <w:jc w:val="both"/>
        <w:rPr>
          <w:rFonts w:ascii="PT Serif" w:hAnsi="PT Serif" w:cs="PT Serif"/>
          <w:b/>
          <w:bCs/>
          <w:color w:val="000000" w:themeColor="text1"/>
          <w:sz w:val="16"/>
          <w:szCs w:val="16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bCs/>
          <w:color w:val="000000" w:themeColor="text1"/>
          <w:sz w:val="16"/>
          <w:szCs w:val="16"/>
          <w:shd w:val="clear" w:color="auto" w:fill="auto"/>
        </w:rPr>
      </w:r>
      <w:r>
        <w:rPr>
          <w:rFonts w:ascii="PT Serif" w:hAnsi="PT Serif" w:cs="PT Serif"/>
          <w:b/>
          <w:bCs/>
          <w:color w:val="000000" w:themeColor="text1"/>
          <w:sz w:val="16"/>
          <w:szCs w:val="16"/>
          <w:highlight w:val="none"/>
          <w:shd w:val="clear" w:color="auto" w:fill="auto"/>
        </w:rPr>
      </w:r>
    </w:p>
    <w:p>
      <w:pPr>
        <w:pStyle w:val="627"/>
        <w:ind w:firstLine="567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  <w:lang w:val="en-US"/>
        </w:rPr>
        <w:t xml:space="preserve">V</w:t>
      </w: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</w:rPr>
        <w:t xml:space="preserve">.Параметры прогноза возможных ЧС на территории ХМАО-Югры на предстоящую неделю: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numPr>
          <w:ilvl w:val="3"/>
          <w:numId w:val="6"/>
        </w:numPr>
        <w:ind w:left="0" w:firstLine="709"/>
        <w:jc w:val="both"/>
        <w:tabs>
          <w:tab w:val="clear" w:pos="720" w:leader="none"/>
          <w:tab w:val="left" w:pos="851" w:leader="none"/>
          <w:tab w:val="left" w:pos="993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</w:rPr>
        <w:t xml:space="preserve">Прогноз солнечной активности и геомагнитной обстановки </w:t>
      </w:r>
      <w:r>
        <w:rPr>
          <w:rFonts w:ascii="PT Serif" w:hAnsi="PT Serif" w:eastAsia="PT Serif" w:cs="PT Serif"/>
          <w:i/>
          <w:color w:val="000000" w:themeColor="text1"/>
          <w:sz w:val="28"/>
          <w:szCs w:val="28"/>
          <w:shd w:val="clear" w:color="auto" w:fill="auto"/>
        </w:rPr>
        <w:t xml:space="preserve">(по данным ИЗМИРАН).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ind w:left="0" w:firstLine="709"/>
        <w:jc w:val="both"/>
        <w:tabs>
          <w:tab w:val="clear" w:pos="720" w:leader="none"/>
          <w:tab w:val="left" w:pos="851" w:leader="none"/>
          <w:tab w:val="left" w:pos="993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</w:rPr>
        <w:t xml:space="preserve">Ожидается, что с </w:t>
      </w:r>
      <w:r>
        <w:rPr>
          <w:rFonts w:ascii="PT Serif" w:hAnsi="PT Serif" w:eastAsia="PT Serif" w:cs="PT Serif"/>
          <w:i/>
          <w:iCs/>
          <w:color w:val="000000" w:themeColor="text1"/>
          <w:sz w:val="28"/>
          <w:szCs w:val="28"/>
          <w:shd w:val="clear" w:color="auto" w:fill="auto"/>
        </w:rPr>
        <w:t xml:space="preserve">19</w:t>
      </w:r>
      <w:r>
        <w:rPr>
          <w:rFonts w:ascii="PT Serif" w:hAnsi="PT Serif" w:eastAsia="PT Serif" w:cs="PT Serif"/>
          <w:i/>
          <w:iCs/>
          <w:color w:val="000000" w:themeColor="text1"/>
          <w:sz w:val="28"/>
          <w:szCs w:val="28"/>
          <w:shd w:val="clear" w:color="auto" w:fill="auto"/>
        </w:rPr>
        <w:t xml:space="preserve"> по 25 мая 2025 года</w:t>
      </w: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</w:rPr>
        <w:t xml:space="preserve"> солнечная активность ожидается на низком и среднем уровнях, а геомагнитная обстановка будет меняться от спокойной до возмущенной.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numPr>
          <w:ilvl w:val="3"/>
          <w:numId w:val="6"/>
        </w:numPr>
        <w:ind w:left="142" w:firstLine="567"/>
        <w:jc w:val="both"/>
        <w:tabs>
          <w:tab w:val="clear" w:pos="720" w:leader="none"/>
          <w:tab w:val="left" w:pos="851" w:leader="none"/>
          <w:tab w:val="left" w:pos="993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</w:rPr>
        <w:t xml:space="preserve">Прогноз рисков возникновения ЧС и происшествий, связанных с подтоплением населенных пунктов, участков транспортных коммуникаций и прилегающих территорий, находящихся в пониженных участках местности в результате весеннего половодья и активного снеготаяния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ind w:left="0" w:firstLine="709"/>
        <w:jc w:val="both"/>
        <w:tabs>
          <w:tab w:val="clear" w:pos="720" w:leader="none"/>
          <w:tab w:val="left" w:pos="851" w:leader="none"/>
          <w:tab w:val="left" w:pos="993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</w:rPr>
        <w:t xml:space="preserve">Возникновения ЧС и происшествий, связанных с подтоплением населенных пунктов</w:t>
      </w: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, способных достигнуть масштабов ЧС локального уровня и выше, </w:t>
      </w: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</w:rPr>
        <w:t xml:space="preserve">не прогнозируется.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left="1" w:firstLine="706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</w:rPr>
        <w:t xml:space="preserve">При сохранение текущей динамики прогнозируется частичное затопление территорий населённых пунктов Лемпино, Мегион, Былино, Вампугол, Соснина,  СОТ Нижневартовского района и Нижневартовска (п. Дивный и СОНТ).</w:t>
      </w:r>
      <w:r>
        <w:rPr>
          <w:rFonts w:ascii="PT Serif" w:hAnsi="PT Serif" w:eastAsia="PT Serif" w:cs="PT Serif"/>
          <w:color w:val="000000" w:themeColor="text1"/>
          <w:sz w:val="28"/>
          <w:shd w:val="clear" w:color="auto" w:fill="auto"/>
        </w:rPr>
        <w:t xml:space="preserve">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left="1" w:firstLine="706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</w:rPr>
        <w:t xml:space="preserve">На реках Обь, Иртыш, Вах, Вандрас, Большой Юган, Большой Салым и Назым – чисто. Ожидается полное очищение рек автономного округа от льда.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numPr>
          <w:ilvl w:val="3"/>
          <w:numId w:val="6"/>
        </w:numPr>
        <w:ind w:left="0" w:firstLine="709"/>
        <w:jc w:val="both"/>
        <w:tabs>
          <w:tab w:val="clear" w:pos="720" w:leader="none"/>
          <w:tab w:val="left" w:pos="851" w:leader="none"/>
          <w:tab w:val="left" w:pos="993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</w:rPr>
        <w:t xml:space="preserve">Прогноз рисков возникновения ЧС и происшествий, связанных с подтоплением населенных пунктов, участков транспортных коммуникаций и прилегающих территорий, находящихся в пониженных участках местности в результате выпадения сильных и очень сильных осадков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ind w:left="0" w:firstLine="709"/>
        <w:jc w:val="both"/>
        <w:tabs>
          <w:tab w:val="clear" w:pos="720" w:leader="none"/>
          <w:tab w:val="left" w:pos="851" w:leader="none"/>
          <w:tab w:val="left" w:pos="993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</w:rPr>
        <w:t xml:space="preserve">Возникновения ЧС и происшествий, связанных с подтоплением населенных пунктов</w:t>
      </w: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, способных достигнуть масштабов ЧС локального уровня и выше, </w:t>
      </w: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</w:rPr>
        <w:t xml:space="preserve">не прогнозируется.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numPr>
          <w:ilvl w:val="0"/>
          <w:numId w:val="7"/>
        </w:numPr>
        <w:ind w:left="0" w:firstLine="709"/>
        <w:jc w:val="both"/>
        <w:widowControl w:val="off"/>
        <w:tabs>
          <w:tab w:val="left" w:pos="709" w:leader="none"/>
          <w:tab w:val="clear" w:pos="720" w:leader="none"/>
          <w:tab w:val="left" w:pos="993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</w:rPr>
        <w:t xml:space="preserve">Прогноз наиболее сложной пожарной обстановки в текущем прогнозируемом периоде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ind w:left="0" w:firstLine="709"/>
        <w:jc w:val="both"/>
        <w:tabs>
          <w:tab w:val="clear" w:pos="720" w:leader="none"/>
          <w:tab w:val="left" w:pos="851" w:leader="none"/>
          <w:tab w:val="left" w:pos="993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Сложной обстановки обусловленной лесными пожарами, способной достигнуть масштабов ЧС локального уровня и выше, </w:t>
      </w: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</w:rPr>
        <w:t xml:space="preserve">не прогнозируется.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numPr>
          <w:ilvl w:val="0"/>
          <w:numId w:val="7"/>
        </w:numPr>
        <w:ind w:left="0" w:firstLine="709"/>
        <w:jc w:val="both"/>
        <w:widowControl w:val="off"/>
        <w:tabs>
          <w:tab w:val="left" w:pos="709" w:leader="none"/>
          <w:tab w:val="clear" w:pos="720" w:leader="none"/>
          <w:tab w:val="left" w:pos="993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</w:rPr>
        <w:t xml:space="preserve">Прогноз ухудшения параметров пожарной обстановки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ind w:left="0" w:firstLine="709"/>
        <w:jc w:val="both"/>
        <w:tabs>
          <w:tab w:val="clear" w:pos="720" w:leader="none"/>
          <w:tab w:val="left" w:pos="851" w:leader="none"/>
          <w:tab w:val="left" w:pos="993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Ухудшение обстановки обусловленной лесными пожарами, возникновение происшествий способных достигнуть масштабов ЧС локального уровня и выше, </w:t>
      </w: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</w:rPr>
        <w:t xml:space="preserve">не прогнозируется.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numPr>
          <w:ilvl w:val="0"/>
          <w:numId w:val="7"/>
        </w:numPr>
        <w:ind w:left="0" w:firstLine="709"/>
        <w:jc w:val="both"/>
        <w:widowControl w:val="off"/>
        <w:tabs>
          <w:tab w:val="left" w:pos="709" w:leader="none"/>
          <w:tab w:val="clear" w:pos="720" w:leader="none"/>
          <w:tab w:val="left" w:pos="993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</w:rPr>
        <w:t xml:space="preserve">Прогноз возникновения природных пожаров, в том числе палов сухой растительности и единичных очагов торфяных пожаров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firstLine="709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Согласно Приказа №7-нп от 17.03.2025 Департамента недропользования и природных ресурсов ХМАО-Югры, пожароопасный сезон на территории Ханты-Мансийского автономного округа-Югры устанавливается с 26.04.2025 г.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contextualSpacing/>
        <w:ind w:left="1" w:firstLine="706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bCs/>
          <w:color w:val="000000" w:themeColor="text1"/>
          <w:sz w:val="28"/>
          <w:szCs w:val="28"/>
          <w:shd w:val="clear" w:color="auto" w:fill="auto"/>
          <w:lang w:bidi="hi-IN"/>
        </w:rPr>
        <w:t xml:space="preserve">За период, прогнозируется возникновение до </w:t>
      </w:r>
      <w:r>
        <w:rPr>
          <w:rFonts w:ascii="PT Serif" w:hAnsi="PT Serif" w:eastAsia="PT Serif" w:cs="PT Serif"/>
          <w:b/>
          <w:bCs/>
          <w:color w:val="000000" w:themeColor="text1"/>
          <w:sz w:val="28"/>
          <w:szCs w:val="28"/>
          <w:shd w:val="clear" w:color="auto" w:fill="auto"/>
          <w:lang w:bidi="hi-IN"/>
        </w:rPr>
        <w:t xml:space="preserve">1-3</w:t>
      </w:r>
      <w:r>
        <w:rPr>
          <w:rFonts w:ascii="PT Serif" w:hAnsi="PT Serif" w:eastAsia="PT Serif" w:cs="PT Serif"/>
          <w:bCs/>
          <w:color w:val="000000" w:themeColor="text1"/>
          <w:sz w:val="28"/>
          <w:szCs w:val="28"/>
          <w:shd w:val="clear" w:color="auto" w:fill="auto"/>
          <w:lang w:bidi="hi-IN"/>
        </w:rPr>
        <w:t xml:space="preserve"> </w:t>
      </w:r>
      <w:r>
        <w:rPr>
          <w:rFonts w:ascii="PT Serif" w:hAnsi="PT Serif" w:eastAsia="PT Serif" w:cs="PT Serif"/>
          <w:b/>
          <w:bCs/>
          <w:color w:val="000000" w:themeColor="text1"/>
          <w:sz w:val="28"/>
          <w:szCs w:val="28"/>
          <w:shd w:val="clear" w:color="auto" w:fill="auto"/>
          <w:lang w:bidi="hi-IN"/>
        </w:rPr>
        <w:t xml:space="preserve">природных пожаров</w:t>
      </w:r>
      <w:r>
        <w:rPr>
          <w:rFonts w:ascii="PT Serif" w:hAnsi="PT Serif" w:eastAsia="PT Serif" w:cs="PT Serif"/>
          <w:bCs/>
          <w:color w:val="000000" w:themeColor="text1"/>
          <w:sz w:val="28"/>
          <w:szCs w:val="28"/>
          <w:shd w:val="clear" w:color="auto" w:fill="auto"/>
          <w:lang w:bidi="hi-IN"/>
        </w:rPr>
        <w:t xml:space="preserve"> (ландшафтных) в поймах рек, лесных массивах и на прилегающих к ним территориях, преимущественно в Кондинском, Нефтеюганском, южных территориях Ханты-Мансийского и Сургутского районов </w:t>
      </w:r>
      <w:r>
        <w:rPr>
          <w:rFonts w:ascii="PT Serif" w:hAnsi="PT Serif" w:eastAsia="PT Serif" w:cs="PT Serif"/>
          <w:bCs/>
          <w:i/>
          <w:color w:val="000000" w:themeColor="text1"/>
          <w:sz w:val="28"/>
          <w:szCs w:val="28"/>
          <w:shd w:val="clear" w:color="auto" w:fill="auto"/>
          <w:lang w:bidi="hi-IN"/>
        </w:rPr>
        <w:t xml:space="preserve">(Источник ЧС – </w:t>
      </w:r>
      <w:r>
        <w:rPr>
          <w:rFonts w:ascii="PT Serif" w:hAnsi="PT Serif" w:eastAsia="PT Serif" w:cs="PT Serif"/>
          <w:bCs/>
          <w:i/>
          <w:color w:val="000000" w:themeColor="text1"/>
          <w:sz w:val="28"/>
          <w:szCs w:val="28"/>
          <w:shd w:val="clear" w:color="auto" w:fill="auto"/>
          <w:lang w:eastAsia="ar-SA" w:bidi="hi-IN"/>
        </w:rPr>
        <w:t xml:space="preserve">человеческий фактор, </w:t>
      </w:r>
      <w:r>
        <w:rPr>
          <w:rFonts w:ascii="PT Serif" w:hAnsi="PT Serif" w:eastAsia="PT Serif" w:cs="PT Serif"/>
          <w:bCs/>
          <w:i/>
          <w:color w:val="000000" w:themeColor="text1"/>
          <w:sz w:val="28"/>
          <w:szCs w:val="28"/>
          <w:shd w:val="clear" w:color="auto" w:fill="auto"/>
          <w:lang w:bidi="hi-IN"/>
        </w:rPr>
        <w:t xml:space="preserve">высокая посещаемость лесов местным населением, нарушение правил пожарной безопасности, неосторожное обращение с огнем).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ind w:left="0" w:firstLine="709"/>
        <w:jc w:val="both"/>
        <w:tabs>
          <w:tab w:val="clear" w:pos="720" w:leader="none"/>
          <w:tab w:val="left" w:pos="851" w:leader="none"/>
          <w:tab w:val="left" w:pos="993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Cs/>
          <w:color w:val="000000" w:themeColor="text1"/>
          <w:sz w:val="28"/>
          <w:szCs w:val="28"/>
          <w:shd w:val="clear" w:color="auto" w:fill="auto"/>
          <w:lang w:bidi="hi-IN"/>
        </w:rPr>
        <w:t xml:space="preserve">Возникновение</w:t>
      </w: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</w:rPr>
        <w:t xml:space="preserve"> </w:t>
      </w:r>
      <w:r>
        <w:rPr>
          <w:rFonts w:ascii="PT Serif" w:hAnsi="PT Serif" w:eastAsia="PT Serif" w:cs="PT Serif"/>
          <w:b/>
          <w:color w:val="000000" w:themeColor="text1"/>
          <w:sz w:val="28"/>
          <w:szCs w:val="28"/>
          <w:shd w:val="clear" w:color="auto" w:fill="auto"/>
        </w:rPr>
        <w:t xml:space="preserve">торфяных пожаров</w:t>
      </w: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</w:rPr>
        <w:t xml:space="preserve"> для территории автономного округа </w:t>
      </w:r>
      <w:r>
        <w:rPr>
          <w:rFonts w:ascii="PT Serif" w:hAnsi="PT Serif" w:eastAsia="PT Serif" w:cs="PT Serif"/>
          <w:b/>
          <w:color w:val="000000" w:themeColor="text1"/>
          <w:sz w:val="28"/>
          <w:szCs w:val="28"/>
          <w:shd w:val="clear" w:color="auto" w:fill="auto"/>
        </w:rPr>
        <w:t xml:space="preserve">– </w:t>
      </w:r>
      <w:r>
        <w:rPr>
          <w:rFonts w:ascii="PT Serif" w:hAnsi="PT Serif" w:eastAsia="PT Serif" w:cs="PT Serif"/>
          <w:b/>
          <w:bCs/>
          <w:color w:val="000000" w:themeColor="text1"/>
          <w:sz w:val="28"/>
          <w:szCs w:val="28"/>
          <w:shd w:val="clear" w:color="auto" w:fill="auto"/>
        </w:rPr>
        <w:t xml:space="preserve">не характерно</w:t>
      </w:r>
      <w:r>
        <w:rPr>
          <w:rFonts w:ascii="PT Serif" w:hAnsi="PT Serif" w:eastAsia="PT Serif" w:cs="PT Serif"/>
          <w:b/>
          <w:color w:val="000000" w:themeColor="text1"/>
          <w:sz w:val="28"/>
          <w:szCs w:val="28"/>
          <w:shd w:val="clear" w:color="auto" w:fill="auto"/>
        </w:rPr>
        <w:t xml:space="preserve">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numPr>
          <w:ilvl w:val="0"/>
          <w:numId w:val="7"/>
        </w:numPr>
        <w:ind w:left="0" w:firstLine="709"/>
        <w:jc w:val="both"/>
        <w:widowControl w:val="off"/>
        <w:tabs>
          <w:tab w:val="left" w:pos="709" w:leader="none"/>
          <w:tab w:val="clear" w:pos="720" w:leader="none"/>
          <w:tab w:val="left" w:pos="993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</w:rPr>
        <w:t xml:space="preserve">Прогноз рисков возникновения ЧС и происшествий, обусловленных переходом огня от палов сухой растительности или лесных пожаров на населенные пункты и объекты экономики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ind w:left="0" w:firstLine="709"/>
        <w:jc w:val="both"/>
        <w:tabs>
          <w:tab w:val="clear" w:pos="720" w:leader="none"/>
          <w:tab w:val="left" w:pos="851" w:leader="none"/>
          <w:tab w:val="left" w:pos="993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Ухудшение обстановки обусловленной лесными пожарами, возникновение происшествий способных достигнуть масштабов ЧС локального уровня и выше, </w:t>
      </w: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</w:rPr>
        <w:t xml:space="preserve">не прогнозируется.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numPr>
          <w:ilvl w:val="0"/>
          <w:numId w:val="7"/>
        </w:numPr>
        <w:ind w:left="0" w:firstLine="709"/>
        <w:jc w:val="both"/>
        <w:widowControl w:val="off"/>
        <w:tabs>
          <w:tab w:val="left" w:pos="709" w:leader="none"/>
          <w:tab w:val="clear" w:pos="720" w:leader="none"/>
          <w:tab w:val="left" w:pos="993" w:leader="none"/>
          <w:tab w:val="left" w:pos="1134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</w:rPr>
        <w:t xml:space="preserve">Прогноз возникновения ЧС и происшествий, обусловленных ухудшением экологической обстановки и задымления населенных пунктов из-за дымовых шлейфов от действующих природных пожаров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ind w:left="0" w:firstLine="709"/>
        <w:jc w:val="both"/>
        <w:tabs>
          <w:tab w:val="clear" w:pos="720" w:leader="none"/>
          <w:tab w:val="left" w:pos="851" w:leader="none"/>
          <w:tab w:val="left" w:pos="993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Ухудшение экологической обстановки обусловленной лесными пожарами, возникновение происшествий способных достигнуть масштабов ЧС локального уровня и выше, </w:t>
      </w: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</w:rPr>
        <w:t xml:space="preserve">не прогнозируется.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numPr>
          <w:ilvl w:val="0"/>
          <w:numId w:val="7"/>
        </w:numPr>
        <w:ind w:left="0" w:firstLine="709"/>
        <w:jc w:val="both"/>
        <w:widowControl w:val="off"/>
        <w:tabs>
          <w:tab w:val="left" w:pos="709" w:leader="none"/>
          <w:tab w:val="clear" w:pos="720" w:leader="none"/>
          <w:tab w:val="left" w:pos="993" w:leader="none"/>
          <w:tab w:val="left" w:pos="1134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</w:rPr>
        <w:t xml:space="preserve">Прогноз рисков возникновения ЧС и происшествий, обусловленных переходом природных пожаров через границу с сопредельными государствами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ind w:left="0" w:firstLine="709"/>
        <w:jc w:val="both"/>
        <w:tabs>
          <w:tab w:val="clear" w:pos="720" w:leader="none"/>
          <w:tab w:val="left" w:pos="851" w:leader="none"/>
          <w:tab w:val="left" w:pos="993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Ухудшение обстановки обусловленной лесными пожарами, возникновение происшествий способных достигнуть масштабов ЧС локального уровня и выше, </w:t>
      </w: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</w:rPr>
        <w:t xml:space="preserve">не прогнозируется.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numPr>
          <w:ilvl w:val="0"/>
          <w:numId w:val="7"/>
        </w:numPr>
        <w:ind w:left="0" w:firstLine="709"/>
        <w:jc w:val="both"/>
        <w:widowControl w:val="off"/>
        <w:tabs>
          <w:tab w:val="left" w:pos="709" w:leader="none"/>
          <w:tab w:val="clear" w:pos="720" w:leader="none"/>
          <w:tab w:val="left" w:pos="993" w:leader="none"/>
          <w:tab w:val="left" w:pos="1134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</w:rPr>
      </w:r>
      <w:bookmarkStart w:id="0" w:name="_GoBack"/>
      <w:r>
        <w:rPr>
          <w:rFonts w:ascii="PT Serif" w:hAnsi="PT Serif" w:eastAsia="PT Serif" w:cs="PT Serif"/>
          <w:color w:val="000000" w:themeColor="text1"/>
        </w:rPr>
      </w:r>
      <w:bookmarkEnd w:id="0"/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</w:rPr>
        <w:t xml:space="preserve">Прогноз рисков возникновения ЧС и происшествий, обусловленных авариями на электроэнергетических системах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left="1" w:firstLine="708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Возникновение аварий, способных достигнуть масштабов ЧС локального уровня и выше, </w:t>
      </w: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</w:rPr>
        <w:t xml:space="preserve">не прогнозируется.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numPr>
          <w:ilvl w:val="0"/>
          <w:numId w:val="7"/>
        </w:numPr>
        <w:ind w:left="0" w:firstLine="709"/>
        <w:jc w:val="both"/>
        <w:widowControl w:val="off"/>
        <w:tabs>
          <w:tab w:val="left" w:pos="709" w:leader="none"/>
          <w:tab w:val="clear" w:pos="720" w:leader="none"/>
          <w:tab w:val="left" w:pos="993" w:leader="none"/>
          <w:tab w:val="left" w:pos="1134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</w:rPr>
        <w:t xml:space="preserve">Прогноз рисков возникновения ЧС и происшествий, обусловленных авариями на коммунальных системах жизнеобеспечения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left="1" w:firstLine="708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Возникновение аварий, способных достигнуть масштабов ЧС локального уровня и выше, </w:t>
      </w: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</w:rPr>
        <w:t xml:space="preserve">не прогнозируется.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numPr>
          <w:ilvl w:val="0"/>
          <w:numId w:val="7"/>
        </w:numPr>
        <w:ind w:left="0" w:firstLine="709"/>
        <w:jc w:val="both"/>
        <w:widowControl w:val="off"/>
        <w:tabs>
          <w:tab w:val="left" w:pos="709" w:leader="none"/>
          <w:tab w:val="clear" w:pos="720" w:leader="none"/>
          <w:tab w:val="left" w:pos="993" w:leader="none"/>
          <w:tab w:val="left" w:pos="1134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</w:rPr>
        <w:t xml:space="preserve">Прогноз рисков увеличения количества техногенных пожаров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left="1" w:firstLine="703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Техногенные пожары в зданиях и сооружениях жилого, социально-бытового и культурного назначения, на территории автономного округа ожидаются около среднемноголетних значений </w:t>
      </w:r>
      <w:r>
        <w:rPr>
          <w:rFonts w:ascii="PT Serif" w:hAnsi="PT Serif" w:eastAsia="PT Serif" w:cs="PT Serif"/>
          <w:i/>
          <w:color w:val="000000" w:themeColor="text1"/>
          <w:position w:val="-1"/>
          <w:sz w:val="28"/>
          <w:szCs w:val="28"/>
          <w:shd w:val="clear" w:color="auto" w:fill="auto"/>
        </w:rPr>
        <w:t xml:space="preserve">(таблица 2).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left="1" w:firstLine="703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Всего на территории автономного округа прогнозируется возникновение </w:t>
      </w:r>
      <w:r>
        <w:rPr>
          <w:rFonts w:ascii="PT Serif" w:hAnsi="PT Serif" w:eastAsia="PT Serif" w:cs="PT Serif"/>
          <w:b/>
          <w:bCs/>
          <w:color w:val="000000" w:themeColor="text1"/>
          <w:position w:val="-1"/>
          <w:sz w:val="28"/>
          <w:szCs w:val="28"/>
          <w:shd w:val="clear" w:color="auto" w:fill="auto"/>
        </w:rPr>
        <w:t xml:space="preserve">45-6</w:t>
      </w: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</w:rPr>
        <w:t xml:space="preserve">5 техногенных пожаров.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firstLine="361"/>
        <w:jc w:val="center"/>
        <w:rPr>
          <w:rFonts w:ascii="PT Serif" w:hAnsi="PT Serif" w:cs="PT Serif"/>
          <w:b/>
          <w:i/>
          <w:color w:val="000000" w:themeColor="text1"/>
          <w:sz w:val="16"/>
          <w:szCs w:val="24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sz w:val="16"/>
          <w:szCs w:val="24"/>
          <w:shd w:val="clear" w:color="auto" w:fill="auto"/>
        </w:rPr>
      </w:r>
      <w:r>
        <w:rPr>
          <w:rFonts w:ascii="PT Serif" w:hAnsi="PT Serif" w:cs="PT Serif"/>
          <w:b/>
          <w:i/>
          <w:color w:val="000000" w:themeColor="text1"/>
          <w:sz w:val="16"/>
          <w:szCs w:val="24"/>
          <w:highlight w:val="none"/>
          <w:shd w:val="clear" w:color="auto" w:fill="auto"/>
        </w:rPr>
      </w:r>
    </w:p>
    <w:p>
      <w:pPr>
        <w:pStyle w:val="627"/>
        <w:jc w:val="center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position w:val="-1"/>
          <w:sz w:val="24"/>
          <w:szCs w:val="24"/>
          <w:shd w:val="clear" w:color="auto" w:fill="auto"/>
        </w:rPr>
        <w:t xml:space="preserve">Таблица 2. Среднемноголетнее количество техногенных пожаров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jc w:val="center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position w:val="-1"/>
          <w:sz w:val="24"/>
          <w:szCs w:val="24"/>
          <w:shd w:val="clear" w:color="auto" w:fill="auto"/>
        </w:rPr>
        <w:t xml:space="preserve">за неделю в мае, за период 2020-2024 гг.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tbl>
      <w:tblPr>
        <w:tblW w:w="7400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2276"/>
        <w:gridCol w:w="1478"/>
        <w:gridCol w:w="2168"/>
        <w:gridCol w:w="1477"/>
      </w:tblGrid>
      <w:tr>
        <w:tblPrEx/>
        <w:trPr>
          <w:trHeight w:val="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6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b/>
                <w:color w:val="000000" w:themeColor="text1"/>
                <w:position w:val="-1"/>
                <w:shd w:val="clear" w:color="auto" w:fill="auto"/>
              </w:rPr>
              <w:t xml:space="preserve">Районы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8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b/>
                <w:color w:val="000000" w:themeColor="text1"/>
                <w:position w:val="-1"/>
                <w:shd w:val="clear" w:color="auto" w:fill="auto"/>
              </w:rPr>
              <w:t xml:space="preserve">количество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8" w:type="dxa"/>
            <w:textDirection w:val="lrTb"/>
            <w:noWrap w:val="false"/>
          </w:tcPr>
          <w:p>
            <w:pPr>
              <w:pStyle w:val="627"/>
              <w:ind w:left="-3" w:hanging="16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b/>
                <w:color w:val="000000" w:themeColor="text1"/>
                <w:position w:val="-1"/>
                <w:shd w:val="clear" w:color="auto" w:fill="auto"/>
              </w:rPr>
              <w:t xml:space="preserve">Городские округа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627"/>
              <w:ind w:left="-10" w:hanging="50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b/>
                <w:color w:val="000000" w:themeColor="text1"/>
                <w:position w:val="-1"/>
                <w:shd w:val="clear" w:color="auto" w:fill="auto"/>
              </w:rPr>
              <w:t xml:space="preserve">количество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  <w:tr>
        <w:tblPrEx/>
        <w:trPr>
          <w:trHeight w:val="1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6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Белоярский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478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1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8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Когалым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2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6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Березовский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478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1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8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Лангепас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2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6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Кондинский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478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3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8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Мегион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2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6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Нефтеюганский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478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4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8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Нефтеюганск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2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6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Нижневартовский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478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2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8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Нижневартовск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9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6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Октябрьский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478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3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8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Нягань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2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  <w:tr>
        <w:tblPrEx/>
        <w:trPr>
          <w:trHeight w:val="2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6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Советский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478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2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8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Югорск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1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6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Сургутский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478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6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8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Пыть-Ях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1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6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Ханты-Мансийский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478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3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8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Радужный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1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  <w:tr>
        <w:tblPrEx/>
        <w:trPr>
          <w:trHeight w:val="1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6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shd w:val="clear" w:color="auto" w:fill="auto"/>
              </w:rPr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8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shd w:val="clear" w:color="auto" w:fill="auto"/>
              </w:rPr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8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Сургут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11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6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shd w:val="clear" w:color="auto" w:fill="auto"/>
              </w:rPr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8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shd w:val="clear" w:color="auto" w:fill="auto"/>
              </w:rPr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8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Урай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3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6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shd w:val="clear" w:color="auto" w:fill="auto"/>
              </w:rPr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8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shd w:val="clear" w:color="auto" w:fill="auto"/>
              </w:rPr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8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Ханты-Мансийск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3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</w:tbl>
    <w:p>
      <w:pPr>
        <w:pStyle w:val="627"/>
        <w:contextualSpacing/>
        <w:ind w:left="709"/>
        <w:jc w:val="both"/>
        <w:spacing w:before="0" w:after="0"/>
        <w:widowControl w:val="off"/>
        <w:tabs>
          <w:tab w:val="clear" w:pos="720" w:leader="none"/>
          <w:tab w:val="left" w:pos="1134" w:leader="none"/>
        </w:tabs>
        <w:rPr>
          <w:rFonts w:ascii="PT Serif" w:hAnsi="PT Serif" w:cs="PT Serif"/>
          <w:color w:val="000000" w:themeColor="text1"/>
          <w:sz w:val="16"/>
          <w:szCs w:val="16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16"/>
          <w:szCs w:val="16"/>
          <w:shd w:val="clear" w:color="auto" w:fill="auto"/>
        </w:rPr>
      </w:r>
      <w:r>
        <w:rPr>
          <w:rFonts w:ascii="PT Serif" w:hAnsi="PT Serif" w:cs="PT Serif"/>
          <w:color w:val="000000" w:themeColor="text1"/>
          <w:sz w:val="16"/>
          <w:szCs w:val="16"/>
          <w:highlight w:val="none"/>
          <w:shd w:val="clear" w:color="auto" w:fill="auto"/>
        </w:rPr>
      </w:r>
    </w:p>
    <w:p>
      <w:pPr>
        <w:pStyle w:val="689"/>
        <w:numPr>
          <w:ilvl w:val="0"/>
          <w:numId w:val="0"/>
        </w:numPr>
        <w:ind w:left="0" w:firstLine="0"/>
        <w:jc w:val="both"/>
        <w:widowControl w:val="off"/>
        <w:tabs>
          <w:tab w:val="left" w:pos="709" w:leader="none"/>
          <w:tab w:val="clear" w:pos="720" w:leader="none"/>
          <w:tab w:val="left" w:pos="993" w:leader="none"/>
          <w:tab w:val="left" w:pos="1134" w:leader="none"/>
        </w:tabs>
        <w:rPr>
          <w:rFonts w:ascii="PT Serif" w:hAnsi="PT Serif" w:cs="PT Serif"/>
          <w:b/>
          <w:i/>
          <w:color w:val="000000" w:themeColor="text1"/>
          <w:sz w:val="28"/>
          <w:szCs w:val="28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</w:rPr>
      </w:r>
      <w:r>
        <w:rPr>
          <w:rFonts w:ascii="PT Serif" w:hAnsi="PT Serif" w:cs="PT Serif"/>
          <w:b/>
          <w:i/>
          <w:color w:val="000000" w:themeColor="text1"/>
          <w:sz w:val="28"/>
          <w:szCs w:val="28"/>
          <w:highlight w:val="none"/>
          <w:shd w:val="clear" w:color="auto" w:fill="auto"/>
        </w:rPr>
      </w:r>
    </w:p>
    <w:p>
      <w:pPr>
        <w:pStyle w:val="689"/>
        <w:numPr>
          <w:ilvl w:val="0"/>
          <w:numId w:val="7"/>
        </w:numPr>
        <w:ind w:left="0" w:firstLine="709"/>
        <w:jc w:val="both"/>
        <w:widowControl w:val="off"/>
        <w:tabs>
          <w:tab w:val="left" w:pos="709" w:leader="none"/>
          <w:tab w:val="clear" w:pos="720" w:leader="none"/>
          <w:tab w:val="left" w:pos="993" w:leader="none"/>
          <w:tab w:val="left" w:pos="1134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</w:rPr>
        <w:t xml:space="preserve">Прогноз рисков затруднения в движении транспорта и увеличения количества ДТП и происшествий на дорогах федерального, регионального и местного значения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1" w:firstLine="706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Чрезвычайные ситуации, обусловленные дорожно-транспортными происшествиями, </w:t>
      </w: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</w:rPr>
        <w:t xml:space="preserve">не прогнозируются.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1" w:firstLine="706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ДТП на автодорогах автономного округа, ожидаются несколько выше среднемноголетних значений </w:t>
      </w:r>
      <w:r>
        <w:rPr>
          <w:rFonts w:ascii="PT Serif" w:hAnsi="PT Serif" w:eastAsia="PT Serif" w:cs="PT Serif"/>
          <w:i/>
          <w:color w:val="000000" w:themeColor="text1"/>
          <w:position w:val="-1"/>
          <w:sz w:val="28"/>
          <w:szCs w:val="28"/>
          <w:shd w:val="clear" w:color="auto" w:fill="auto"/>
        </w:rPr>
        <w:t xml:space="preserve">(таблица 3).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1" w:firstLine="706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На автотрассах округа прогнозируется возникновение 5-10 ДТП, наиболее опасные участки: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1" w:firstLine="708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u w:val="single"/>
          <w:shd w:val="clear" w:color="auto" w:fill="auto"/>
        </w:rPr>
        <w:t xml:space="preserve">Федеральные автодороги: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1" w:firstLine="706"/>
        <w:jc w:val="both"/>
        <w:tabs>
          <w:tab w:val="left" w:pos="567" w:leader="none"/>
          <w:tab w:val="clear" w:pos="720" w:leader="none"/>
          <w:tab w:val="left" w:pos="4007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- 743 км Р-404 – район н.п. Каркатеевы (Нефтеюганский район);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1" w:firstLine="706"/>
        <w:jc w:val="both"/>
        <w:tabs>
          <w:tab w:val="left" w:pos="567" w:leader="none"/>
          <w:tab w:val="clear" w:pos="720" w:leader="none"/>
          <w:tab w:val="left" w:pos="4007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- 773-774 км Р-404 – район н.п. Пойковский (Нефтеюганский район);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1" w:firstLine="706"/>
        <w:jc w:val="both"/>
        <w:tabs>
          <w:tab w:val="left" w:pos="567" w:leader="none"/>
          <w:tab w:val="clear" w:pos="720" w:leader="none"/>
          <w:tab w:val="left" w:pos="4007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- 19-20 км «Подъезд к г. Сургут» 2 км от поворота на п. Сингапай</w:t>
      </w: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</w:rPr>
        <w:t xml:space="preserve"> </w:t>
      </w: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(Нефтеюганский район).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1" w:firstLine="708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u w:val="single"/>
          <w:shd w:val="clear" w:color="auto" w:fill="auto"/>
        </w:rPr>
        <w:t xml:space="preserve">Территориальные автодороги: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-2" w:firstLine="708"/>
        <w:jc w:val="both"/>
        <w:tabs>
          <w:tab w:val="left" w:pos="567" w:leader="none"/>
          <w:tab w:val="clear" w:pos="720" w:leader="none"/>
          <w:tab w:val="left" w:pos="4007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- 57 км г. Сургут – г. Нефтеюганск (Сургутский район);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-2" w:firstLine="708"/>
        <w:jc w:val="both"/>
        <w:tabs>
          <w:tab w:val="left" w:pos="567" w:leader="none"/>
          <w:tab w:val="clear" w:pos="720" w:leader="none"/>
          <w:tab w:val="left" w:pos="4007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- 6 км г. Нефтеюганск – левый берег р. Обь (Нефтеюганский район);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-2" w:firstLine="708"/>
        <w:jc w:val="both"/>
        <w:tabs>
          <w:tab w:val="left" w:pos="567" w:leader="none"/>
          <w:tab w:val="clear" w:pos="720" w:leader="none"/>
          <w:tab w:val="left" w:pos="4007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- 10 км г. Нижневартовск – г. Радужный (Нижневартовский район);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1" w:firstLine="706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Общее количество: 6 опасных участков дорог в 3 районах округа.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1" w:firstLine="706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bCs/>
          <w:color w:val="000000" w:themeColor="text1"/>
          <w:position w:val="-1"/>
          <w:sz w:val="28"/>
          <w:szCs w:val="24"/>
          <w:shd w:val="clear" w:color="auto" w:fill="auto"/>
        </w:rPr>
        <w:t xml:space="preserve">В</w:t>
      </w: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сего на территории округа прогнозируется возникновение</w:t>
      </w: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</w:rPr>
        <w:t xml:space="preserve"> 10-20 ДТП.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firstLine="542"/>
        <w:jc w:val="center"/>
        <w:rPr>
          <w:rFonts w:ascii="PT Serif" w:hAnsi="PT Serif" w:cs="PT Serif"/>
          <w:b/>
          <w:i/>
          <w:color w:val="000000" w:themeColor="text1"/>
          <w:sz w:val="16"/>
          <w:szCs w:val="16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sz w:val="16"/>
          <w:szCs w:val="16"/>
          <w:shd w:val="clear" w:color="auto" w:fill="auto"/>
        </w:rPr>
      </w:r>
      <w:r>
        <w:rPr>
          <w:rFonts w:ascii="PT Serif" w:hAnsi="PT Serif" w:cs="PT Serif"/>
          <w:b/>
          <w:i/>
          <w:color w:val="000000" w:themeColor="text1"/>
          <w:sz w:val="16"/>
          <w:szCs w:val="16"/>
          <w:highlight w:val="none"/>
          <w:shd w:val="clear" w:color="auto" w:fill="auto"/>
        </w:rPr>
      </w:r>
    </w:p>
    <w:p>
      <w:pPr>
        <w:pStyle w:val="627"/>
        <w:jc w:val="center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position w:val="-1"/>
          <w:sz w:val="24"/>
          <w:szCs w:val="24"/>
          <w:shd w:val="clear" w:color="auto" w:fill="auto"/>
        </w:rPr>
        <w:t xml:space="preserve">Таблица 3. Среднемноголетнее количество ДТП за неделю в мае,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firstLine="542"/>
        <w:jc w:val="center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position w:val="-1"/>
          <w:sz w:val="24"/>
          <w:szCs w:val="24"/>
          <w:shd w:val="clear" w:color="auto" w:fill="auto"/>
        </w:rPr>
        <w:t xml:space="preserve">за период 2020-2024 гг.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tbl>
      <w:tblPr>
        <w:tblW w:w="7400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2276"/>
        <w:gridCol w:w="1478"/>
        <w:gridCol w:w="2168"/>
        <w:gridCol w:w="1477"/>
      </w:tblGrid>
      <w:tr>
        <w:tblPrEx/>
        <w:trPr>
          <w:trHeight w:val="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6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b/>
                <w:color w:val="000000" w:themeColor="text1"/>
                <w:position w:val="-1"/>
                <w:shd w:val="clear" w:color="auto" w:fill="auto"/>
              </w:rPr>
              <w:t xml:space="preserve">Районы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8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b/>
                <w:color w:val="000000" w:themeColor="text1"/>
                <w:position w:val="-1"/>
                <w:shd w:val="clear" w:color="auto" w:fill="auto"/>
              </w:rPr>
              <w:t xml:space="preserve">количество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8" w:type="dxa"/>
            <w:textDirection w:val="lrTb"/>
            <w:noWrap w:val="false"/>
          </w:tcPr>
          <w:p>
            <w:pPr>
              <w:pStyle w:val="627"/>
              <w:ind w:left="-3" w:hanging="16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b/>
                <w:color w:val="000000" w:themeColor="text1"/>
                <w:position w:val="-1"/>
                <w:shd w:val="clear" w:color="auto" w:fill="auto"/>
              </w:rPr>
              <w:t xml:space="preserve">Городские округа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627"/>
              <w:ind w:left="-10" w:hanging="50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b/>
                <w:color w:val="000000" w:themeColor="text1"/>
                <w:position w:val="-1"/>
                <w:shd w:val="clear" w:color="auto" w:fill="auto"/>
              </w:rPr>
              <w:t xml:space="preserve">количество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6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Нефтеюганский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478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shd w:val="clear" w:color="auto" w:fill="auto"/>
              </w:rPr>
              <w:t xml:space="preserve">2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8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Нижневартовск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2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6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Нижневартовский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478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1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8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Сургут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4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6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Советский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478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shd w:val="clear" w:color="auto" w:fill="auto"/>
              </w:rPr>
              <w:t xml:space="preserve">1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8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Ханты-Мансийск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1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  <w:tr>
        <w:tblPrEx/>
        <w:trPr>
          <w:trHeight w:val="1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6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Сургутский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8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hd w:val="clear" w:color="auto" w:fill="auto"/>
              </w:rPr>
              <w:t xml:space="preserve">2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8" w:type="dxa"/>
            <w:textDirection w:val="lrTb"/>
            <w:noWrap w:val="false"/>
          </w:tcPr>
          <w:p>
            <w:pPr>
              <w:pStyle w:val="627"/>
              <w:ind w:firstLine="14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shd w:val="clear" w:color="auto" w:fill="auto"/>
              </w:rPr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627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shd w:val="clear" w:color="auto" w:fill="auto"/>
              </w:rPr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</w:tbl>
    <w:p>
      <w:pPr>
        <w:pStyle w:val="627"/>
        <w:numPr>
          <w:ilvl w:val="0"/>
          <w:numId w:val="0"/>
        </w:numPr>
        <w:ind w:left="1" w:firstLine="706"/>
        <w:jc w:val="both"/>
        <w:rPr>
          <w:rFonts w:ascii="PT Serif" w:hAnsi="PT Serif" w:cs="PT Serif"/>
          <w:color w:val="000000" w:themeColor="text1"/>
          <w:sz w:val="16"/>
          <w:szCs w:val="16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sz w:val="16"/>
          <w:szCs w:val="16"/>
          <w:shd w:val="clear" w:color="auto" w:fill="auto"/>
        </w:rPr>
      </w:r>
      <w:r>
        <w:rPr>
          <w:rFonts w:ascii="PT Serif" w:hAnsi="PT Serif" w:cs="PT Serif"/>
          <w:color w:val="000000" w:themeColor="text1"/>
          <w:sz w:val="16"/>
          <w:szCs w:val="16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1" w:firstLine="706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Основные причины: погодные условия, нарушение ПДД и скоростного режима.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numPr>
          <w:ilvl w:val="0"/>
          <w:numId w:val="7"/>
        </w:numPr>
        <w:ind w:left="0" w:firstLine="709"/>
        <w:jc w:val="both"/>
        <w:widowControl w:val="off"/>
        <w:tabs>
          <w:tab w:val="left" w:pos="709" w:leader="none"/>
          <w:tab w:val="clear" w:pos="720" w:leader="none"/>
          <w:tab w:val="left" w:pos="993" w:leader="none"/>
          <w:tab w:val="left" w:pos="1134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</w:rPr>
        <w:t xml:space="preserve">Прогноз рисков увеличения количества ДТП в утренние и вечерние часы в связи с туманами на автодорогах федерального, регионального и местного значения, расположенных в пониженных участках местности, около водных объектов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1" w:firstLine="706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Увеличение ДТП в утренние и вечерние часы в связи с туманами на автодорогах автономного округа, ожидаются преимущественно в Нефтеюганском, Сургутском и Нижневартовском районах, в том числе на наиболее опасных участках автодорог: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1" w:firstLine="708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u w:val="single"/>
          <w:shd w:val="clear" w:color="auto" w:fill="auto"/>
        </w:rPr>
        <w:t xml:space="preserve">Федеральные автодороги: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1" w:firstLine="706"/>
        <w:jc w:val="both"/>
        <w:tabs>
          <w:tab w:val="left" w:pos="567" w:leader="none"/>
          <w:tab w:val="clear" w:pos="720" w:leader="none"/>
          <w:tab w:val="left" w:pos="4007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- 743 км Р-404 – район н.п. Каркатеевы (Нефтеюганский район);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1" w:firstLine="706"/>
        <w:jc w:val="both"/>
        <w:tabs>
          <w:tab w:val="left" w:pos="567" w:leader="none"/>
          <w:tab w:val="clear" w:pos="720" w:leader="none"/>
          <w:tab w:val="left" w:pos="4007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- 773-774 км Р-404 – район н.п. Пойковский (Нефтеюганский район);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1" w:firstLine="706"/>
        <w:jc w:val="both"/>
        <w:tabs>
          <w:tab w:val="left" w:pos="567" w:leader="none"/>
          <w:tab w:val="clear" w:pos="720" w:leader="none"/>
          <w:tab w:val="left" w:pos="4007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- 19-20 км «Подъезд к г. Сургут» 2 км от поворота на п. Сингапай</w:t>
      </w: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</w:rPr>
        <w:t xml:space="preserve"> </w:t>
      </w: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(Нефтеюганский район).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1" w:firstLine="708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u w:val="single"/>
          <w:shd w:val="clear" w:color="auto" w:fill="auto"/>
        </w:rPr>
        <w:t xml:space="preserve">Территориальные автодороги: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-2" w:firstLine="708"/>
        <w:jc w:val="both"/>
        <w:tabs>
          <w:tab w:val="left" w:pos="567" w:leader="none"/>
          <w:tab w:val="clear" w:pos="720" w:leader="none"/>
          <w:tab w:val="left" w:pos="4007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- 57 км г. Сургут – г. Нефтеюганск (Сургутский район);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-2" w:firstLine="708"/>
        <w:jc w:val="both"/>
        <w:tabs>
          <w:tab w:val="left" w:pos="567" w:leader="none"/>
          <w:tab w:val="clear" w:pos="720" w:leader="none"/>
          <w:tab w:val="left" w:pos="4007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- 6 км г. Нефтеюганск – левый берег р. Обь (Нефтеюганский район);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-2" w:firstLine="708"/>
        <w:jc w:val="both"/>
        <w:tabs>
          <w:tab w:val="left" w:pos="567" w:leader="none"/>
          <w:tab w:val="clear" w:pos="720" w:leader="none"/>
          <w:tab w:val="left" w:pos="4007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- 10 км г. Нижневартовск – г. Радужный (Нижневартовский район);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ind w:left="0" w:firstLine="709"/>
        <w:jc w:val="both"/>
        <w:tabs>
          <w:tab w:val="clear" w:pos="720" w:leader="none"/>
          <w:tab w:val="left" w:pos="851" w:leader="none"/>
          <w:tab w:val="left" w:pos="993" w:leader="none"/>
        </w:tabs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Общее количество: 6 опасных участков дорог в 3 районах округа.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ind w:left="709"/>
        <w:jc w:val="both"/>
        <w:tabs>
          <w:tab w:val="clear" w:pos="720" w:leader="none"/>
          <w:tab w:val="left" w:pos="851" w:leader="none"/>
          <w:tab w:val="left" w:pos="993" w:leader="none"/>
        </w:tabs>
        <w:rPr>
          <w:rFonts w:ascii="PT Serif" w:hAnsi="PT Serif" w:cs="PT Serif"/>
          <w:color w:val="000000" w:themeColor="text1"/>
          <w:sz w:val="16"/>
          <w:szCs w:val="16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16"/>
          <w:szCs w:val="16"/>
          <w:shd w:val="clear" w:color="auto" w:fill="auto"/>
        </w:rPr>
      </w:r>
      <w:r>
        <w:rPr>
          <w:rFonts w:ascii="PT Serif" w:hAnsi="PT Serif" w:cs="PT Serif"/>
          <w:color w:val="000000" w:themeColor="text1"/>
          <w:sz w:val="16"/>
          <w:szCs w:val="16"/>
          <w:highlight w:val="none"/>
          <w:shd w:val="clear" w:color="auto" w:fill="auto"/>
        </w:rPr>
      </w:r>
    </w:p>
    <w:p>
      <w:pPr>
        <w:pStyle w:val="627"/>
        <w:ind w:firstLine="567"/>
        <w:jc w:val="center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color w:val="000000" w:themeColor="text1"/>
          <w:position w:val="-1"/>
          <w:sz w:val="28"/>
          <w:szCs w:val="28"/>
          <w:shd w:val="clear" w:color="auto" w:fill="auto"/>
        </w:rPr>
        <w:t xml:space="preserve">VI. Рекомендации по реагированию на прогноз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left="0" w:right="0"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Для повышения эффективности работы по сбору и обмену информацией, с целью создания условий для оперативного реагирования сил и средств на возможные происшествия и чрезвычайные</w:t>
      </w:r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 ситуации, территориальным органам федеральных органов исполнительной власти, органам исполнительной власти ХМАО - Югры, главам администраций муниципальных образований, начальникам пожарно-спасательных отрядов Федеральной противопожарной службы Главного уп</w:t>
      </w:r>
      <w:r>
        <w:rPr>
          <w:rFonts w:ascii="PT Serif" w:hAnsi="PT Serif" w:eastAsia="PT Serif" w:cs="PT Serif"/>
          <w:b/>
          <w:i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равления МЧС России по ХМАО - Югре, органам, уполномоченным на решение вопросов в области ГО и ЧС муниципальных образований, руководителям и дежурным службам заинтересованных организаций и предприятий и населению в пределах своей компетенции рекомендуется: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firstLine="565"/>
        <w:jc w:val="both"/>
        <w:spacing w:before="0" w:after="0"/>
        <w:rPr>
          <w:rFonts w:ascii="PT Serif" w:hAnsi="PT Serif" w:cs="PT Serif"/>
          <w:b/>
          <w:bCs/>
          <w:i/>
          <w:iCs/>
          <w:color w:val="000000" w:themeColor="text1"/>
          <w:sz w:val="16"/>
          <w:szCs w:val="16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bCs/>
          <w:i/>
          <w:iCs/>
          <w:color w:val="000000" w:themeColor="text1"/>
          <w:sz w:val="16"/>
          <w:szCs w:val="16"/>
          <w:shd w:val="clear" w:color="auto" w:fill="auto"/>
        </w:rPr>
      </w:r>
      <w:r>
        <w:rPr>
          <w:rFonts w:ascii="PT Serif" w:hAnsi="PT Serif" w:cs="PT Serif"/>
          <w:b/>
          <w:bCs/>
          <w:i/>
          <w:iCs/>
          <w:color w:val="000000" w:themeColor="text1"/>
          <w:sz w:val="16"/>
          <w:szCs w:val="16"/>
          <w:highlight w:val="none"/>
          <w:shd w:val="clear" w:color="auto" w:fill="auto"/>
        </w:rPr>
      </w:r>
    </w:p>
    <w:p>
      <w:pPr>
        <w:pStyle w:val="627"/>
        <w:contextualSpacing/>
        <w:ind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bCs/>
          <w:i/>
          <w:iCs/>
          <w:color w:val="000000" w:themeColor="text1"/>
          <w:sz w:val="28"/>
          <w:szCs w:val="28"/>
          <w:shd w:val="clear" w:color="auto" w:fill="auto"/>
          <w:lang w:eastAsia="ar-SA" w:bidi="hi-IN"/>
        </w:rPr>
        <w:t xml:space="preserve">1. В целях предотвращения возникновения техногенных пожаров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Вести регулярную пропаганду во всех видах СМИ о соблюдении правил пожарно</w:t>
      </w: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й безопасности. Организовать проведение профилактических рейдов по обследованию жилых домов с вручением обучающих и пропагандистских материалов по пожарной безопасности и проведением противопожарных инструктажей под роспись. Провести работу по запрету испо</w:t>
      </w: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льзования населением самодельных и несертифицированных электронагревательных приборов, бытовых газовых, керосиновых, бензиновых и других устройств. Обеспечить контроль над своевременным обследованием и профилактическим ремонтом газового оборудования и сете</w:t>
      </w: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й газоснабжения, противопожарным состоянием в жилых домах и объектах массового пребывания людей. Обеспечить контроль за состоянием полигонов твердых коммунальных отходов (свалок), в том числе несанкционированных, не допуская открытого горения и задымления.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bCs/>
          <w:i/>
          <w:iCs/>
          <w:color w:val="000000" w:themeColor="text1"/>
          <w:sz w:val="28"/>
          <w:szCs w:val="28"/>
          <w:shd w:val="clear" w:color="auto" w:fill="auto"/>
          <w:lang w:eastAsia="ar-SA" w:bidi="hi-IN"/>
        </w:rPr>
        <w:t xml:space="preserve">2. В целях предотвращения аварийных и чрезвычайных ситуаций на системах жизнеобеспечения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Предприятиям, эксплуатирующим оборудование систем жизнеобеспечения населения, проверить наличие аварийно-восс</w:t>
      </w: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тановительных бригад и их укомплектованность техникой и оборудованием. Заблаговременно предусмотреть и выполнить комплекс мероприятий по предупреждению чрезвычайных ситуаций на объектах и системах жизнеобеспечения населения. Принять меры по обеспечению бес</w:t>
      </w: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перебойного водоснабжения и электроснабжения котельных и водозаборных сооружений, включая обеспечение этих объектов автономными резервными источниками электропитания. Создать необходимый запас материально-технических ресурсов для ликвидации аварийных ситуа</w:t>
      </w: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ций в жилищном фонде, на объектах и сетях коммунальной инфраструктуры. Организовать своевременную и бесперебойную поставку топливно-энергетических ресурсов на объекты жизнеобеспечения населения, обеспечивающие водоснабжение жилищного фонда и объектов социа</w:t>
      </w: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льной сферы. Уточнить планы переключения потребителей, при аварийном отключении ЛЭП и ТП, на резервные линии электроснабжения. Особое внимание следует уделить соблюдению правил пожарной безопасности при эксплуатации котельных, печей, отопительных приборов.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bCs/>
          <w:i/>
          <w:iCs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3. В целях предотвращения аварий на авиационном, железнодорожном транспорте и магистральных трубопроводах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Контролировать работоспособность транспортных коммуникаций, проводить комплексные профилактические мероприятия по недопущению аварий на железнодорожном и авиационном транспорте. Для недопущения аварий на магистральных трубо</w:t>
      </w: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проводах (газо-, нефтепроводах) проводить патрулирование, организовывать выборочную проверку опасных участков трубопроводов. Уточнить состав сил и средств, привлекаемых для ликвидации ЧС, связанных с авиационным, железнодорожным, магистральным транспортом.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bCs/>
          <w:i/>
          <w:iCs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4. В целях предотвращения аварийных ситуаций на автомобильных дорогах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4"/>
          <w:shd w:val="clear" w:color="auto" w:fill="auto"/>
        </w:rPr>
        <w:t xml:space="preserve">Осуществлять контроль технического состояния транспорта, используемого для перевозки людей и опасных грузов, пред рейсовой подготовки водителей;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4"/>
          <w:shd w:val="clear" w:color="auto" w:fill="auto"/>
        </w:rPr>
        <w:t xml:space="preserve">Обеспечить готовность аварийных служб к реагированию на ДТП;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4"/>
          <w:shd w:val="clear" w:color="auto" w:fill="auto"/>
        </w:rPr>
        <w:t xml:space="preserve">Организовать проведение бесед с водителями предприятий и организаций о последствиях употребления алкоголя перед поездкой с демонстрацией фото- и видеоматериалов с мест ДТП, постоянно проводить пропагандистскую работу ч</w:t>
      </w:r>
      <w:r>
        <w:rPr>
          <w:rFonts w:ascii="PT Serif" w:hAnsi="PT Serif" w:eastAsia="PT Serif" w:cs="PT Serif"/>
          <w:color w:val="000000" w:themeColor="text1"/>
          <w:position w:val="-1"/>
          <w:sz w:val="28"/>
          <w:szCs w:val="24"/>
          <w:shd w:val="clear" w:color="auto" w:fill="auto"/>
        </w:rPr>
        <w:t xml:space="preserve">ерез СМИ о необходимости соблюдения правил дорожного движения, о состоянии дорожного покрытия в период действия опасных и неблагоприятных метеорологических условий, необходимости использования необходимой автомобильной резины в соответствии с сезоном года.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4"/>
          <w:shd w:val="clear" w:color="auto" w:fill="auto"/>
        </w:rPr>
        <w:t xml:space="preserve">Организовать постоянное взаимодействие с территориальными подразделениями центра медицины катастроф, районными медицинскими учреждениями и ГИБДД для своевременного реагирования на возможные ДТП;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4"/>
          <w:shd w:val="clear" w:color="auto" w:fill="auto"/>
        </w:rPr>
        <w:t xml:space="preserve">Организовать готовность дорожных служб к обеспечению нормального функционирования транспортного сообщения.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4"/>
          <w:shd w:val="clear" w:color="auto" w:fill="auto"/>
        </w:rPr>
        <w:t xml:space="preserve">В случае ухудшения обстановки проработать вопросы: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4"/>
          <w:shd w:val="clear" w:color="auto" w:fill="auto"/>
        </w:rPr>
        <w:t xml:space="preserve">-дежурства экипажей скорой медицинской помощи, патрульных машин ГИБДД и подвоза ГСМ;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4"/>
          <w:shd w:val="clear" w:color="auto" w:fill="auto"/>
        </w:rPr>
        <w:t xml:space="preserve">-организации мест питания, размещения водителей и пассажиров, информирования населения через СМИ о сложившейся обстановке, а также маршрутов объездных дорог.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4"/>
          <w:shd w:val="clear" w:color="auto" w:fill="auto"/>
        </w:rPr>
        <w:t xml:space="preserve">В целях обеспечения бесперебойного транспортного сообщения, запланировать необходимые резервы сил и средств для оперативной организации объездов поврежденных участков автомобильных дорог.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bCs/>
          <w:i/>
          <w:iCs/>
          <w:color w:val="000000" w:themeColor="text1"/>
          <w:sz w:val="28"/>
          <w:szCs w:val="28"/>
          <w:shd w:val="clear" w:color="auto" w:fill="auto"/>
          <w:lang w:eastAsia="ar-SA" w:bidi="hi-IN"/>
        </w:rPr>
        <w:t xml:space="preserve">5. В целях предупреждения несчастных случаев на водных объектах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left="1" w:firstLine="706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Обеспечить контроль готовности спасательных служб к реагированию на происшествия.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contextualSpacing/>
        <w:ind w:left="-2" w:firstLine="711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Определить составы аварийных бригад, обеспечить </w:t>
      </w: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их необходимым автотранспортом и оборудованием, провести тренировки по ликвидации аварий/происшествий на водных объектах. Обеспечить контроль и выполнение мероприятий по охране жизни людей на акваториях рек и водоемов в границах муниципальных образований.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contextualSpacing/>
        <w:ind w:left="1" w:right="0" w:firstLine="708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Проводить разъяснительную работу среди населения, направленную на соблюдение мер безопасности при посещ</w:t>
      </w: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ении водных объектов, особое внимание уделить организации работы по профилактическим и обучающим мероприятиям с детьми, включая проведение бесед и лекций по правилам безопасного поведения на водных объектах, оказанию первой медицинской помощи пострадавшим.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left="1" w:firstLine="563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При ухудшении паводковой обстановки: оповестить население, проживающее в зоне риска, о возможной опасности, подготовить п</w:t>
      </w: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ункты временного размещения, подготовить транспорт для доставки пострадавших в пункты временного размещения, обеспечить готовность сил и средств, привлекаемых к ликвидации последствий ЧС, проводить учащенный сбор гидрологических параметров водных объектов.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bCs/>
          <w:i/>
          <w:iCs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6. В целях предотвращения чрезвычайных ситуаций, обусловленных ухудшением эпизоотической обстановки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С целью недопущения возникновения новых и распространения очагов бешенства и других контагиозных заболеваний животных, осуществлять мониторинг ситуаций угроз их возникновения и проведение своевременных противоэпизоотических мероприятий.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contextualSpacing/>
        <w:ind w:firstLine="709"/>
        <w:jc w:val="both"/>
        <w:spacing w:before="0" w:after="0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8"/>
          <w:szCs w:val="28"/>
          <w:shd w:val="clear" w:color="auto" w:fill="auto"/>
          <w:lang w:eastAsia="zh-CN" w:bidi="hi-IN"/>
        </w:rPr>
        <w:t xml:space="preserve">В период ограничительных мероприятий (карантина) запретить проведение выставок собак и кошек, торговлю домашними животными, вывоз собак и кошек, отлов и охоту на диких животных на территории районов, где отмечены очаги опасных болезней животных.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firstLine="709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b/>
          <w:i/>
          <w:color w:val="000000" w:themeColor="text1"/>
          <w:position w:val="-1"/>
          <w:sz w:val="28"/>
          <w:szCs w:val="28"/>
          <w:shd w:val="clear" w:color="auto" w:fill="auto"/>
        </w:rPr>
        <w:t xml:space="preserve">7. В целях предотвращения возникновения природных пожаров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numPr>
          <w:ilvl w:val="0"/>
          <w:numId w:val="0"/>
        </w:numPr>
        <w:ind w:left="-2" w:firstLine="703"/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В целях снижения рисков возникновения ЧС в весенне-летний пожароопасный период с момента схода снежного покрова рекомендуется проведение следующих превентивных мероприятий: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numPr>
          <w:ilvl w:val="0"/>
          <w:numId w:val="4"/>
        </w:numPr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обустройство и эксплуатация лесных дорог, предназначенных для охраны лесов от пожаров;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numPr>
          <w:ilvl w:val="0"/>
          <w:numId w:val="4"/>
        </w:numPr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прокладка и прочистка просек;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numPr>
          <w:ilvl w:val="0"/>
          <w:numId w:val="4"/>
        </w:numPr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устройство и прочистка противопожарных минерализованных полос;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numPr>
          <w:ilvl w:val="0"/>
          <w:numId w:val="4"/>
        </w:numPr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благоустройство и содержание зон отдыха для граждан, прибывающих в лесу;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numPr>
          <w:ilvl w:val="0"/>
          <w:numId w:val="4"/>
        </w:numPr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установка и содержание стендов, содержащих информацию о лесе.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89"/>
        <w:numPr>
          <w:ilvl w:val="0"/>
          <w:numId w:val="4"/>
        </w:numPr>
        <w:jc w:val="both"/>
        <w:rPr>
          <w:rFonts w:ascii="PT Serif" w:hAnsi="PT Serif" w:cs="PT Serif"/>
          <w:color w:val="000000" w:themeColor="text1"/>
          <w:highlight w:val="none"/>
          <w:shd w:val="clear" w:color="auto" w:fill="auto"/>
        </w:rPr>
        <w:outlineLvl w:val="0"/>
      </w:pPr>
      <w:r>
        <w:rPr>
          <w:rFonts w:ascii="PT Serif" w:hAnsi="PT Serif" w:eastAsia="PT Serif" w:cs="PT Serif"/>
          <w:color w:val="000000" w:themeColor="text1"/>
          <w:position w:val="-1"/>
          <w:sz w:val="28"/>
          <w:szCs w:val="28"/>
          <w:shd w:val="clear" w:color="auto" w:fill="auto"/>
        </w:rPr>
        <w:t xml:space="preserve">по необходимости, установка шлагбаумов, устройство преград, обеспечивающих ограничение пребывания граждан в лесах.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firstLine="563"/>
        <w:jc w:val="both"/>
        <w:rPr>
          <w:rFonts w:ascii="PT Serif" w:hAnsi="PT Serif" w:cs="PT Serif"/>
          <w:i/>
          <w:color w:val="000000" w:themeColor="text1"/>
          <w:sz w:val="16"/>
          <w:szCs w:val="16"/>
          <w:highlight w:val="none"/>
          <w:shd w:val="clear" w:color="auto" w:fill="auto"/>
        </w:rPr>
      </w:pPr>
      <w:r>
        <w:rPr>
          <w:rFonts w:ascii="PT Serif" w:hAnsi="PT Serif" w:eastAsia="PT Serif" w:cs="PT Serif"/>
          <w:i/>
          <w:color w:val="000000" w:themeColor="text1"/>
          <w:sz w:val="16"/>
          <w:szCs w:val="16"/>
          <w:shd w:val="clear" w:color="auto" w:fill="auto"/>
        </w:rPr>
      </w:r>
      <w:r>
        <w:rPr>
          <w:rFonts w:ascii="PT Serif" w:hAnsi="PT Serif" w:cs="PT Serif"/>
          <w:i/>
          <w:color w:val="000000" w:themeColor="text1"/>
          <w:sz w:val="16"/>
          <w:szCs w:val="16"/>
          <w:highlight w:val="none"/>
          <w:shd w:val="clear" w:color="auto" w:fill="auto"/>
        </w:rPr>
      </w:r>
    </w:p>
    <w:p>
      <w:pPr>
        <w:pStyle w:val="627"/>
        <w:ind w:firstLine="563"/>
        <w:jc w:val="both"/>
        <w:rPr>
          <w:rFonts w:ascii="PT Serif" w:hAnsi="PT Serif" w:cs="PT Serif"/>
          <w:i/>
          <w:color w:val="000000" w:themeColor="text1"/>
          <w:sz w:val="16"/>
          <w:szCs w:val="16"/>
          <w:highlight w:val="none"/>
          <w:shd w:val="clear" w:color="auto" w:fill="auto"/>
        </w:rPr>
      </w:pPr>
      <w:r>
        <w:rPr>
          <w:rFonts w:ascii="PT Serif" w:hAnsi="PT Serif" w:eastAsia="PT Serif" w:cs="PT Serif"/>
          <w:i/>
          <w:color w:val="000000" w:themeColor="text1"/>
          <w:sz w:val="16"/>
          <w:szCs w:val="16"/>
          <w:shd w:val="clear" w:color="auto" w:fill="auto"/>
        </w:rPr>
      </w:r>
      <w:r>
        <w:rPr>
          <w:rFonts w:ascii="PT Serif" w:hAnsi="PT Serif" w:cs="PT Serif"/>
          <w:i/>
          <w:color w:val="000000" w:themeColor="text1"/>
          <w:sz w:val="16"/>
          <w:szCs w:val="16"/>
          <w:highlight w:val="none"/>
          <w:shd w:val="clear" w:color="auto" w:fill="auto"/>
        </w:rPr>
      </w:r>
    </w:p>
    <w:p>
      <w:pPr>
        <w:pStyle w:val="627"/>
        <w:ind w:firstLine="563"/>
        <w:jc w:val="both"/>
        <w:spacing w:line="1" w:lineRule="atLeast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i/>
          <w:color w:val="000000" w:themeColor="text1"/>
          <w:position w:val="-1"/>
          <w:shd w:val="clear" w:color="auto" w:fill="auto"/>
        </w:rPr>
        <w:t xml:space="preserve">Подготовлен на основе информации Ханты-Мансийского ЦГМС - филиала ФГБУ «Обь-Иртышское УГМС», Управления Роспотребнадзора по</w:t>
      </w:r>
      <w:r>
        <w:rPr>
          <w:rFonts w:ascii="PT Serif" w:hAnsi="PT Serif" w:eastAsia="PT Serif" w:cs="PT Serif"/>
          <w:i/>
          <w:color w:val="000000" w:themeColor="text1"/>
          <w:position w:val="-1"/>
          <w:shd w:val="clear" w:color="auto" w:fill="auto"/>
        </w:rPr>
        <w:t xml:space="preserve"> ХМАО-Югре, Управления надзорной деятельности, КУ ХМАО-Югры «Центр обеспечения безопасности жизнедеятельности и призыва граждан на военную службу», ГУ МЧС России по ХМАО-Югре, Филиала Севера Сибири ФГБУ «Авиаметтелеком Росгидромета», статистических данных.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hanging="2"/>
        <w:spacing w:line="1" w:lineRule="atLeast"/>
        <w:rPr>
          <w:rFonts w:ascii="PT Serif" w:hAnsi="PT Serif" w:cs="PT Serif"/>
          <w:color w:val="000000" w:themeColor="text1"/>
          <w:szCs w:val="24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Cs w:val="24"/>
          <w:shd w:val="clear" w:color="auto" w:fill="auto"/>
        </w:rPr>
      </w:r>
      <w:r>
        <w:rPr>
          <w:rFonts w:ascii="PT Serif" w:hAnsi="PT Serif" w:cs="PT Serif"/>
          <w:color w:val="000000" w:themeColor="text1"/>
          <w:szCs w:val="24"/>
          <w:highlight w:val="none"/>
          <w:shd w:val="clear" w:color="auto" w:fill="auto"/>
        </w:rPr>
      </w:r>
    </w:p>
    <w:p>
      <w:pPr>
        <w:pStyle w:val="627"/>
        <w:ind w:hanging="2"/>
        <w:rPr>
          <w:rFonts w:ascii="PT Serif" w:hAnsi="PT Serif" w:cs="PT Serif"/>
          <w:color w:val="000000" w:themeColor="text1"/>
          <w:sz w:val="22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2"/>
          <w:shd w:val="clear" w:color="auto" w:fill="auto"/>
        </w:rPr>
      </w:r>
      <w:r>
        <w:rPr>
          <w:rFonts w:ascii="PT Serif" w:hAnsi="PT Serif" w:cs="PT Serif"/>
          <w:color w:val="000000" w:themeColor="text1"/>
          <w:sz w:val="22"/>
          <w:highlight w:val="none"/>
          <w:shd w:val="clear" w:color="auto" w:fill="auto"/>
        </w:rPr>
      </w:r>
    </w:p>
    <w:p>
      <w:pPr>
        <w:pStyle w:val="627"/>
        <w:ind w:hanging="2"/>
        <w:rPr>
          <w:rFonts w:ascii="PT Serif" w:hAnsi="PT Serif" w:cs="PT Serif"/>
          <w:color w:val="000000" w:themeColor="text1"/>
          <w:sz w:val="22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2"/>
          <w:shd w:val="clear" w:color="auto" w:fill="auto"/>
        </w:rPr>
      </w:r>
      <w:r>
        <w:rPr>
          <w:rFonts w:ascii="PT Serif" w:hAnsi="PT Serif" w:cs="PT Serif"/>
          <w:color w:val="000000" w:themeColor="text1"/>
          <w:sz w:val="22"/>
          <w:highlight w:val="none"/>
          <w:shd w:val="clear" w:color="auto" w:fill="auto"/>
        </w:rPr>
      </w:r>
    </w:p>
    <w:p>
      <w:pPr>
        <w:pStyle w:val="627"/>
        <w:ind w:hanging="2"/>
        <w:rPr>
          <w:rFonts w:ascii="PT Serif" w:hAnsi="PT Serif" w:cs="PT Serif"/>
          <w:color w:val="000000" w:themeColor="text1"/>
          <w:sz w:val="22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2"/>
          <w:shd w:val="clear" w:color="auto" w:fill="auto"/>
        </w:rPr>
      </w:r>
      <w:r>
        <w:rPr>
          <w:rFonts w:ascii="PT Serif" w:hAnsi="PT Serif" w:cs="PT Serif"/>
          <w:color w:val="000000" w:themeColor="text1"/>
          <w:sz w:val="22"/>
          <w:highlight w:val="none"/>
          <w:shd w:val="clear" w:color="auto" w:fill="auto"/>
        </w:rPr>
      </w:r>
    </w:p>
    <w:tbl>
      <w:tblPr>
        <w:tblW w:w="10008" w:type="dxa"/>
        <w:tblInd w:w="-85" w:type="dxa"/>
        <w:tblLayout w:type="fixed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3627"/>
        <w:gridCol w:w="3821"/>
        <w:gridCol w:w="2560"/>
      </w:tblGrid>
      <w:tr>
        <w:tblPrEx/>
        <w:trPr>
          <w:trHeight w:val="1443"/>
        </w:trPr>
        <w:tc>
          <w:tcPr>
            <w:tcW w:w="3627" w:type="dxa"/>
            <w:textDirection w:val="lrTb"/>
            <w:noWrap w:val="false"/>
          </w:tcPr>
          <w:p>
            <w:pPr>
              <w:pStyle w:val="627"/>
              <w:ind w:left="1" w:hanging="3"/>
              <w:rPr>
                <w:rFonts w:ascii="PT Serif" w:hAnsi="PT Serif" w:cs="PT Serif"/>
                <w:color w:val="000000" w:themeColor="text1"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sz w:val="26"/>
                <w:szCs w:val="26"/>
                <w:shd w:val="clear" w:color="auto" w:fill="auto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6985" distB="6985" distL="7620" distR="6350" simplePos="0" relativeHeight="6" behindDoc="0" locked="0" layoutInCell="1" allowOverlap="1">
                      <wp:simplePos x="0" y="0"/>
                      <wp:positionH relativeFrom="column">
                        <wp:posOffset>2188845</wp:posOffset>
                      </wp:positionH>
                      <wp:positionV relativeFrom="paragraph">
                        <wp:posOffset>12065</wp:posOffset>
                      </wp:positionV>
                      <wp:extent cx="2600325" cy="1176020"/>
                      <wp:effectExtent l="7620" t="6985" r="6350" b="6985"/>
                      <wp:wrapNone/>
                      <wp:docPr id="4" name="Скругленный 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2600280" cy="11761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3" o:spid="_x0000_s3" o:spt="2" type="#_x0000_t2" style="position:absolute;z-index:6;o:allowoverlap:true;o:allowincell:true;mso-position-horizontal-relative:text;margin-left:172.35pt;mso-position-horizontal:absolute;mso-position-vertical-relative:text;margin-top:0.95pt;mso-position-vertical:absolute;width:204.75pt;height:92.60pt;mso-wrap-distance-left:0.60pt;mso-wrap-distance-top:0.55pt;mso-wrap-distance-right:0.50pt;mso-wrap-distance-bottom:0.55pt;visibility:visible;" filled="f" strokecolor="#000000" strokeweight="1.00pt"/>
                  </w:pict>
                </mc:Fallback>
              </mc:AlternateContent>
            </w:r>
            <w:r>
              <w:rPr>
                <w:rFonts w:ascii="PT Serif" w:hAnsi="PT Serif" w:cs="PT Serif"/>
                <w:color w:val="000000" w:themeColor="text1"/>
                <w:sz w:val="26"/>
                <w:szCs w:val="26"/>
                <w:highlight w:val="none"/>
                <w:shd w:val="clear" w:color="auto" w:fill="auto"/>
              </w:rPr>
            </w:r>
          </w:p>
          <w:p>
            <w:pPr>
              <w:pStyle w:val="627"/>
              <w:ind w:left="1" w:hanging="3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z w:val="28"/>
                <w:szCs w:val="28"/>
                <w:shd w:val="clear" w:color="auto" w:fill="auto"/>
              </w:rPr>
              <w:t xml:space="preserve">Заместитель начальника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  <w:p>
            <w:pPr>
              <w:pStyle w:val="627"/>
              <w:numPr>
                <w:ilvl w:val="0"/>
                <w:numId w:val="0"/>
              </w:numPr>
              <w:ind w:left="1" w:hanging="3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z w:val="28"/>
                <w:szCs w:val="28"/>
                <w:shd w:val="clear" w:color="auto" w:fill="auto"/>
              </w:rPr>
              <w:t xml:space="preserve"> </w:t>
            </w:r>
            <w:r>
              <w:rPr>
                <w:rFonts w:ascii="PT Serif" w:hAnsi="PT Serif" w:eastAsia="PT Serif" w:cs="PT Serif"/>
                <w:color w:val="000000" w:themeColor="text1"/>
                <w:position w:val="-1"/>
                <w:sz w:val="28"/>
                <w:szCs w:val="28"/>
                <w:shd w:val="clear" w:color="auto" w:fill="auto"/>
              </w:rPr>
              <w:t xml:space="preserve">отдела анализа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  <w:p>
            <w:pPr>
              <w:pStyle w:val="627"/>
              <w:numPr>
                <w:ilvl w:val="0"/>
                <w:numId w:val="0"/>
              </w:numPr>
              <w:ind w:left="1" w:hanging="3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  <w:outlineLvl w:val="0"/>
            </w:pPr>
            <w:r>
              <w:rPr>
                <w:rFonts w:ascii="PT Serif" w:hAnsi="PT Serif" w:eastAsia="PT Serif" w:cs="PT Serif"/>
                <w:color w:val="000000" w:themeColor="text1"/>
                <w:position w:val="-1"/>
                <w:sz w:val="28"/>
                <w:szCs w:val="28"/>
                <w:shd w:val="clear" w:color="auto" w:fill="auto"/>
              </w:rPr>
              <w:t xml:space="preserve">и прогнозирования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  <w:p>
            <w:pPr>
              <w:pStyle w:val="627"/>
              <w:ind w:left="1" w:hanging="3"/>
              <w:rPr>
                <w:rFonts w:ascii="PT Serif" w:hAnsi="PT Serif" w:cs="PT Serif"/>
                <w:color w:val="000000" w:themeColor="text1"/>
                <w:sz w:val="28"/>
                <w:szCs w:val="28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sz w:val="28"/>
                <w:szCs w:val="28"/>
                <w:shd w:val="clear" w:color="auto" w:fill="auto"/>
              </w:rPr>
            </w:r>
            <w:r>
              <w:rPr>
                <w:rFonts w:ascii="PT Serif" w:hAnsi="PT Serif" w:cs="PT Serif"/>
                <w:color w:val="000000" w:themeColor="text1"/>
                <w:sz w:val="28"/>
                <w:szCs w:val="28"/>
                <w:highlight w:val="none"/>
                <w:shd w:val="clear" w:color="auto" w:fill="auto"/>
              </w:rPr>
            </w:r>
          </w:p>
        </w:tc>
        <w:tc>
          <w:tcPr>
            <w:tcW w:w="3821" w:type="dxa"/>
            <w:vAlign w:val="center"/>
            <w:textDirection w:val="lrTb"/>
            <w:noWrap w:val="false"/>
          </w:tcPr>
          <w:p>
            <w:pPr>
              <w:pStyle w:val="627"/>
              <w:ind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5" behindDoc="0" locked="0" layoutInCell="1" allowOverlap="1">
                      <wp:simplePos x="0" y="0"/>
                      <wp:positionH relativeFrom="column">
                        <wp:posOffset>-462280</wp:posOffset>
                      </wp:positionH>
                      <wp:positionV relativeFrom="paragraph">
                        <wp:posOffset>-8255</wp:posOffset>
                      </wp:positionV>
                      <wp:extent cx="371475" cy="333375"/>
                      <wp:effectExtent l="0" t="0" r="0" b="0"/>
                      <wp:wrapThrough wrapText="bothSides">
                        <wp:wrapPolygon edited="1">
                          <wp:start x="-553" y="0"/>
                          <wp:lineTo x="-553" y="19242"/>
                          <wp:lineTo x="19895" y="19242"/>
                          <wp:lineTo x="19895" y="0"/>
                          <wp:lineTo x="-553" y="0"/>
                        </wp:wrapPolygon>
                      </wp:wrapThrough>
                      <wp:docPr id="5" name="Рисунок 1" descr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" name="Рисунок 1" descr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71475" cy="3333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" o:spid="_x0000_s4" type="#_x0000_t75" style="position:absolute;z-index:5;o:allowoverlap:true;o:allowincell:true;mso-position-horizontal-relative:text;margin-left:-36.40pt;mso-position-horizontal:absolute;mso-position-vertical-relative:text;margin-top:-0.65pt;mso-position-vertical:absolute;width:29.25pt;height:26.25pt;mso-wrap-distance-left:9.00pt;mso-wrap-distance-top:0.00pt;mso-wrap-distance-right:9.00pt;mso-wrap-distance-bottom:0.00pt;" wrapcoords="-2559 0 -2559 89083 92106 89083 92106 0 -2559 0" stroked="false">
                      <v:path textboxrect="0,0,0,0"/>
                      <w10:wrap type="through"/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PT Serif" w:hAnsi="PT Serif" w:eastAsia="PT Serif" w:cs="PT Serif"/>
                <w:b/>
                <w:color w:val="000000" w:themeColor="text1"/>
                <w:shd w:val="clear" w:color="auto" w:fill="auto"/>
              </w:rPr>
              <w:t xml:space="preserve">ДОКУМЕНТ ПОДПИСАН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  <w:p>
            <w:pPr>
              <w:pStyle w:val="627"/>
              <w:ind w:hanging="2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b/>
                <w:color w:val="000000" w:themeColor="text1"/>
                <w:shd w:val="clear" w:color="auto" w:fill="auto"/>
              </w:rPr>
              <w:t xml:space="preserve">ЭЛЕКТРОННОЙ ПОДПИСЬЮ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  <w:p>
            <w:pPr>
              <w:pStyle w:val="627"/>
              <w:rPr>
                <w:rFonts w:ascii="PT Serif" w:hAnsi="PT Serif" w:cs="PT Serif"/>
                <w:color w:val="000000" w:themeColor="text1"/>
                <w:sz w:val="8"/>
                <w:szCs w:val="8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sz w:val="8"/>
                <w:szCs w:val="8"/>
                <w:shd w:val="clear" w:color="auto" w:fill="auto"/>
              </w:rPr>
            </w:r>
            <w:r>
              <w:rPr>
                <w:rFonts w:ascii="PT Serif" w:hAnsi="PT Serif" w:cs="PT Serif"/>
                <w:color w:val="000000" w:themeColor="text1"/>
                <w:sz w:val="8"/>
                <w:szCs w:val="8"/>
                <w:highlight w:val="none"/>
                <w:shd w:val="clear" w:color="auto" w:fill="auto"/>
              </w:rPr>
            </w:r>
          </w:p>
          <w:p>
            <w:pPr>
              <w:pStyle w:val="627"/>
              <w:ind w:hanging="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sz w:val="18"/>
                <w:szCs w:val="18"/>
                <w:shd w:val="clear" w:color="auto" w:fill="auto"/>
              </w:rPr>
              <w:t xml:space="preserve">Сертификат  [Номер сертификата 1]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  <w:p>
            <w:pPr>
              <w:pStyle w:val="627"/>
              <w:ind w:hanging="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sz w:val="18"/>
                <w:szCs w:val="18"/>
                <w:shd w:val="clear" w:color="auto" w:fill="auto"/>
              </w:rPr>
              <w:t xml:space="preserve">Владелец [Владелец сертификата 1]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  <w:p>
            <w:pPr>
              <w:pStyle w:val="627"/>
              <w:ind w:hanging="2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sz w:val="18"/>
                <w:szCs w:val="18"/>
                <w:shd w:val="clear" w:color="auto" w:fill="auto"/>
              </w:rPr>
              <w:t xml:space="preserve">Действителен с [ДатаС 1] по [ДатаПо 1]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W w:w="2560" w:type="dxa"/>
            <w:textDirection w:val="lrTb"/>
            <w:noWrap w:val="false"/>
          </w:tcPr>
          <w:p>
            <w:pPr>
              <w:pStyle w:val="627"/>
              <w:ind w:left="1" w:hanging="3"/>
              <w:jc w:val="right"/>
              <w:rPr>
                <w:rFonts w:ascii="PT Serif" w:hAnsi="PT Serif" w:cs="PT Serif"/>
                <w:color w:val="000000" w:themeColor="text1"/>
                <w:sz w:val="28"/>
                <w:szCs w:val="28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sz w:val="28"/>
                <w:szCs w:val="28"/>
                <w:shd w:val="clear" w:color="auto" w:fill="auto"/>
              </w:rPr>
            </w:r>
            <w:r>
              <w:rPr>
                <w:rFonts w:ascii="PT Serif" w:hAnsi="PT Serif" w:cs="PT Serif"/>
                <w:color w:val="000000" w:themeColor="text1"/>
                <w:sz w:val="28"/>
                <w:szCs w:val="28"/>
                <w:highlight w:val="none"/>
                <w:shd w:val="clear" w:color="auto" w:fill="auto"/>
              </w:rPr>
            </w:r>
          </w:p>
          <w:p>
            <w:pPr>
              <w:pStyle w:val="627"/>
              <w:ind w:left="1" w:hanging="3"/>
              <w:jc w:val="center"/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rFonts w:ascii="PT Serif" w:hAnsi="PT Serif" w:eastAsia="PT Serif" w:cs="PT Serif"/>
                <w:color w:val="000000" w:themeColor="text1"/>
                <w:sz w:val="28"/>
                <w:szCs w:val="28"/>
                <w:shd w:val="clear" w:color="auto" w:fill="auto"/>
              </w:rPr>
              <w:t xml:space="preserve">Д.С. Третьяков</w:t>
            </w:r>
            <w:r>
              <w:rPr>
                <w:rFonts w:ascii="PT Serif" w:hAnsi="PT Serif" w:cs="PT Serif"/>
                <w:color w:val="000000" w:themeColor="text1"/>
                <w:highlight w:val="none"/>
                <w:shd w:val="clear" w:color="auto" w:fill="auto"/>
              </w:rPr>
            </w:r>
          </w:p>
        </w:tc>
      </w:tr>
    </w:tbl>
    <w:p>
      <w:pPr>
        <w:pStyle w:val="627"/>
        <w:ind w:hanging="2"/>
        <w:rPr>
          <w:rFonts w:ascii="PT Serif" w:hAnsi="PT Serif" w:cs="PT Serif"/>
          <w:color w:val="000000" w:themeColor="text1"/>
          <w:sz w:val="22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2"/>
          <w:shd w:val="clear" w:color="auto" w:fill="auto"/>
        </w:rPr>
      </w:r>
      <w:r>
        <w:rPr>
          <w:rFonts w:ascii="PT Serif" w:hAnsi="PT Serif" w:cs="PT Serif"/>
          <w:color w:val="000000" w:themeColor="text1"/>
          <w:sz w:val="22"/>
          <w:highlight w:val="none"/>
          <w:shd w:val="clear" w:color="auto" w:fill="auto"/>
        </w:rPr>
      </w:r>
    </w:p>
    <w:p>
      <w:pPr>
        <w:pStyle w:val="627"/>
        <w:ind w:hanging="2"/>
        <w:rPr>
          <w:rFonts w:ascii="PT Serif" w:hAnsi="PT Serif" w:cs="PT Serif"/>
          <w:color w:val="000000" w:themeColor="text1"/>
          <w:sz w:val="22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 w:val="22"/>
          <w:shd w:val="clear" w:color="auto" w:fill="auto"/>
        </w:rPr>
      </w:r>
      <w:r>
        <w:rPr>
          <w:rFonts w:ascii="PT Serif" w:hAnsi="PT Serif" w:cs="PT Serif"/>
          <w:color w:val="000000" w:themeColor="text1"/>
          <w:sz w:val="22"/>
          <w:highlight w:val="none"/>
          <w:shd w:val="clear" w:color="auto" w:fill="auto"/>
        </w:rPr>
      </w:r>
    </w:p>
    <w:p>
      <w:pPr>
        <w:pStyle w:val="627"/>
        <w:ind w:hanging="2"/>
        <w:spacing w:line="1" w:lineRule="atLeast"/>
        <w:rPr>
          <w:rFonts w:ascii="PT Serif" w:hAnsi="PT Serif" w:cs="PT Serif"/>
          <w:color w:val="000000" w:themeColor="text1"/>
          <w:szCs w:val="24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Cs w:val="24"/>
          <w:shd w:val="clear" w:color="auto" w:fill="auto"/>
        </w:rPr>
      </w:r>
      <w:r>
        <w:rPr>
          <w:rFonts w:ascii="PT Serif" w:hAnsi="PT Serif" w:cs="PT Serif"/>
          <w:color w:val="000000" w:themeColor="text1"/>
          <w:szCs w:val="24"/>
          <w:highlight w:val="none"/>
          <w:shd w:val="clear" w:color="auto" w:fill="auto"/>
        </w:rPr>
      </w:r>
    </w:p>
    <w:p>
      <w:pPr>
        <w:pStyle w:val="627"/>
        <w:ind w:hanging="2"/>
        <w:spacing w:line="1" w:lineRule="atLeast"/>
        <w:rPr>
          <w:rFonts w:ascii="PT Serif" w:hAnsi="PT Serif" w:cs="PT Serif"/>
          <w:color w:val="000000" w:themeColor="text1"/>
          <w:szCs w:val="24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zCs w:val="24"/>
          <w:shd w:val="clear" w:color="auto" w:fill="auto"/>
        </w:rPr>
      </w:r>
      <w:r>
        <w:rPr>
          <w:rFonts w:ascii="PT Serif" w:hAnsi="PT Serif" w:cs="PT Serif"/>
          <w:color w:val="000000" w:themeColor="text1"/>
          <w:szCs w:val="24"/>
          <w:highlight w:val="none"/>
          <w:shd w:val="clear" w:color="auto" w:fill="auto"/>
        </w:rPr>
      </w:r>
    </w:p>
    <w:p>
      <w:pPr>
        <w:pStyle w:val="627"/>
        <w:ind w:hanging="2"/>
        <w:spacing w:line="1" w:lineRule="atLeast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Cs w:val="24"/>
          <w:shd w:val="clear" w:color="auto" w:fill="auto"/>
        </w:rPr>
        <w:t xml:space="preserve">Территориальный центр анализа и прогноза угроз безопасности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hanging="2"/>
        <w:spacing w:line="1" w:lineRule="atLeast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Cs w:val="24"/>
          <w:shd w:val="clear" w:color="auto" w:fill="auto"/>
        </w:rPr>
        <w:t xml:space="preserve">тел. 8 (3467) 360-086 (доб. 220, 211)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hanging="2"/>
        <w:spacing w:line="1" w:lineRule="atLeast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Cs w:val="24"/>
          <w:shd w:val="clear" w:color="auto" w:fill="auto"/>
          <w:lang w:val="en-US"/>
        </w:rPr>
        <w:t xml:space="preserve">e</w:t>
      </w:r>
      <w:r>
        <w:rPr>
          <w:rFonts w:ascii="PT Serif" w:hAnsi="PT Serif" w:eastAsia="PT Serif" w:cs="PT Serif"/>
          <w:color w:val="000000" w:themeColor="text1"/>
          <w:position w:val="-1"/>
          <w:szCs w:val="24"/>
          <w:shd w:val="clear" w:color="auto" w:fill="auto"/>
        </w:rPr>
        <w:t xml:space="preserve">-</w:t>
      </w:r>
      <w:r>
        <w:rPr>
          <w:rFonts w:ascii="PT Serif" w:hAnsi="PT Serif" w:eastAsia="PT Serif" w:cs="PT Serif"/>
          <w:color w:val="000000" w:themeColor="text1"/>
          <w:position w:val="-1"/>
          <w:szCs w:val="24"/>
          <w:shd w:val="clear" w:color="auto" w:fill="auto"/>
          <w:lang w:val="en-US"/>
        </w:rPr>
        <w:t xml:space="preserve">mail</w:t>
      </w:r>
      <w:r>
        <w:rPr>
          <w:rFonts w:ascii="PT Serif" w:hAnsi="PT Serif" w:eastAsia="PT Serif" w:cs="PT Serif"/>
          <w:color w:val="000000" w:themeColor="text1"/>
          <w:position w:val="-1"/>
          <w:szCs w:val="24"/>
          <w:shd w:val="clear" w:color="auto" w:fill="auto"/>
        </w:rPr>
        <w:t xml:space="preserve">: </w:t>
      </w:r>
      <w:r>
        <w:rPr>
          <w:rFonts w:ascii="PT Serif" w:hAnsi="PT Serif" w:eastAsia="PT Serif" w:cs="PT Serif"/>
          <w:color w:val="000000" w:themeColor="text1"/>
          <w:position w:val="-1"/>
          <w:szCs w:val="24"/>
          <w:shd w:val="clear" w:color="auto" w:fill="auto"/>
          <w:lang w:val="en-US"/>
        </w:rPr>
        <w:t xml:space="preserve">riskhmao</w:t>
      </w:r>
      <w:r>
        <w:rPr>
          <w:rFonts w:ascii="PT Serif" w:hAnsi="PT Serif" w:eastAsia="PT Serif" w:cs="PT Serif"/>
          <w:color w:val="000000" w:themeColor="text1"/>
          <w:position w:val="-1"/>
          <w:szCs w:val="24"/>
          <w:shd w:val="clear" w:color="auto" w:fill="auto"/>
        </w:rPr>
        <w:t xml:space="preserve">@</w:t>
      </w:r>
      <w:r>
        <w:rPr>
          <w:rFonts w:ascii="PT Serif" w:hAnsi="PT Serif" w:eastAsia="PT Serif" w:cs="PT Serif"/>
          <w:color w:val="000000" w:themeColor="text1"/>
          <w:position w:val="-1"/>
          <w:szCs w:val="24"/>
          <w:shd w:val="clear" w:color="auto" w:fill="auto"/>
          <w:lang w:val="en-US"/>
        </w:rPr>
        <w:t xml:space="preserve">cov</w:t>
      </w:r>
      <w:r>
        <w:rPr>
          <w:rFonts w:ascii="PT Serif" w:hAnsi="PT Serif" w:eastAsia="PT Serif" w:cs="PT Serif"/>
          <w:color w:val="000000" w:themeColor="text1"/>
          <w:position w:val="-1"/>
          <w:szCs w:val="24"/>
          <w:shd w:val="clear" w:color="auto" w:fill="auto"/>
        </w:rPr>
        <w:t xml:space="preserve">86.</w:t>
      </w:r>
      <w:r>
        <w:rPr>
          <w:rFonts w:ascii="PT Serif" w:hAnsi="PT Serif" w:eastAsia="PT Serif" w:cs="PT Serif"/>
          <w:color w:val="000000" w:themeColor="text1"/>
          <w:position w:val="-1"/>
          <w:szCs w:val="24"/>
          <w:shd w:val="clear" w:color="auto" w:fill="auto"/>
          <w:lang w:val="en-US"/>
        </w:rPr>
        <w:t xml:space="preserve">ru</w:t>
      </w:r>
      <w:r>
        <w:rPr>
          <w:rFonts w:ascii="PT Serif" w:hAnsi="PT Serif" w:eastAsia="PT Serif" w:cs="PT Serif"/>
          <w:color w:val="000000" w:themeColor="text1"/>
          <w:position w:val="-1"/>
          <w:szCs w:val="24"/>
          <w:shd w:val="clear" w:color="auto" w:fill="auto"/>
        </w:rPr>
        <w:t xml:space="preserve">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ind w:hanging="2"/>
        <w:spacing w:line="1" w:lineRule="atLeast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position w:val="-1"/>
          <w:szCs w:val="24"/>
          <w:shd w:val="clear" w:color="auto" w:fill="auto"/>
          <w:lang w:val="en-US"/>
        </w:rPr>
        <w:t xml:space="preserve">http</w:t>
      </w:r>
      <w:r>
        <w:rPr>
          <w:rFonts w:ascii="PT Serif" w:hAnsi="PT Serif" w:eastAsia="PT Serif" w:cs="PT Serif"/>
          <w:color w:val="000000" w:themeColor="text1"/>
          <w:position w:val="-1"/>
          <w:szCs w:val="24"/>
          <w:shd w:val="clear" w:color="auto" w:fill="auto"/>
        </w:rPr>
        <w:t xml:space="preserve">://</w:t>
      </w:r>
      <w:r>
        <w:rPr>
          <w:rFonts w:ascii="PT Serif" w:hAnsi="PT Serif" w:eastAsia="PT Serif" w:cs="PT Serif"/>
          <w:color w:val="000000" w:themeColor="text1"/>
          <w:position w:val="-1"/>
          <w:szCs w:val="24"/>
          <w:shd w:val="clear" w:color="auto" w:fill="auto"/>
          <w:lang w:val="en-US"/>
        </w:rPr>
        <w:t xml:space="preserve">risk</w:t>
      </w:r>
      <w:r>
        <w:rPr>
          <w:rFonts w:ascii="PT Serif" w:hAnsi="PT Serif" w:eastAsia="PT Serif" w:cs="PT Serif"/>
          <w:color w:val="000000" w:themeColor="text1"/>
          <w:position w:val="-1"/>
          <w:szCs w:val="24"/>
          <w:shd w:val="clear" w:color="auto" w:fill="auto"/>
        </w:rPr>
        <w:t xml:space="preserve">.</w:t>
      </w:r>
      <w:r>
        <w:rPr>
          <w:rFonts w:ascii="PT Serif" w:hAnsi="PT Serif" w:eastAsia="PT Serif" w:cs="PT Serif"/>
          <w:color w:val="000000" w:themeColor="text1"/>
          <w:position w:val="-1"/>
          <w:szCs w:val="24"/>
          <w:shd w:val="clear" w:color="auto" w:fill="auto"/>
          <w:lang w:val="en-US"/>
        </w:rPr>
        <w:t xml:space="preserve">cov</w:t>
      </w:r>
      <w:r>
        <w:rPr>
          <w:rFonts w:ascii="PT Serif" w:hAnsi="PT Serif" w:eastAsia="PT Serif" w:cs="PT Serif"/>
          <w:color w:val="000000" w:themeColor="text1"/>
          <w:position w:val="-1"/>
          <w:szCs w:val="24"/>
          <w:shd w:val="clear" w:color="auto" w:fill="auto"/>
        </w:rPr>
        <w:t xml:space="preserve">86.</w:t>
      </w:r>
      <w:r>
        <w:rPr>
          <w:rFonts w:ascii="PT Serif" w:hAnsi="PT Serif" w:eastAsia="PT Serif" w:cs="PT Serif"/>
          <w:color w:val="000000" w:themeColor="text1"/>
          <w:position w:val="-1"/>
          <w:szCs w:val="24"/>
          <w:shd w:val="clear" w:color="auto" w:fill="auto"/>
          <w:lang w:val="en-US"/>
        </w:rPr>
        <w:t xml:space="preserve">ru</w:t>
      </w:r>
      <w:r>
        <w:rPr>
          <w:rFonts w:ascii="PT Serif" w:hAnsi="PT Serif" w:eastAsia="PT Serif" w:cs="PT Serif"/>
          <w:color w:val="000000" w:themeColor="text1"/>
          <w:position w:val="-1"/>
          <w:sz w:val="24"/>
          <w:szCs w:val="24"/>
          <w:shd w:val="clear" w:color="auto" w:fill="auto"/>
        </w:rPr>
        <w:t xml:space="preserve"> </w:t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hd w:val="clear" w:color="auto" w:fill="auto"/>
        </w:rPr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p>
      <w:pPr>
        <w:pStyle w:val="627"/>
        <w:rPr>
          <w:rFonts w:ascii="PT Serif" w:hAnsi="PT Serif" w:cs="PT Serif"/>
          <w:color w:val="000000" w:themeColor="text1"/>
          <w:highlight w:val="none"/>
          <w:shd w:val="clear" w:color="auto" w:fill="auto"/>
        </w:rPr>
      </w:pPr>
      <w:r>
        <w:rPr>
          <w:rFonts w:ascii="PT Serif" w:hAnsi="PT Serif" w:eastAsia="PT Serif" w:cs="PT Serif"/>
          <w:color w:val="000000" w:themeColor="text1"/>
          <w:shd w:val="clear" w:color="auto" w:fill="auto"/>
        </w:rPr>
      </w:r>
      <w:r>
        <w:rPr>
          <w:rFonts w:ascii="PT Serif" w:hAnsi="PT Serif" w:cs="PT Serif"/>
          <w:color w:val="000000" w:themeColor="text1"/>
          <w:highlight w:val="none"/>
          <w:shd w:val="clear" w:color="auto" w:fill="auto"/>
        </w:rPr>
      </w:r>
    </w:p>
    <w:sectPr>
      <w:footnotePr/>
      <w:endnotePr/>
      <w:type w:val="nextPage"/>
      <w:pgSz w:w="11906" w:h="16838" w:orient="portrait"/>
      <w:pgMar w:top="1417" w:right="1276" w:bottom="1134" w:left="1559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Open Sans">
    <w:panose1 w:val="020B0606030504020204"/>
  </w:font>
  <w:font w:name="Cambria">
    <w:panose1 w:val="02040503050406030204"/>
  </w:font>
  <w:font w:name="Tahoma">
    <w:panose1 w:val="020B0606030504020204"/>
  </w:font>
  <w:font w:name="Arial">
    <w:panose1 w:val="020B0604020202020204"/>
  </w:font>
  <w:font w:name="WenQuanYi Micro Hei">
    <w:panose1 w:val="020B0606030804020204"/>
  </w:font>
  <w:font w:name="PT Serif">
    <w:panose1 w:val="020A0603040505020204"/>
  </w:font>
  <w:font w:name="Courier New">
    <w:panose1 w:val="02070409020205020404"/>
  </w:font>
  <w:font w:name="Lohit Devanagari">
    <w:panose1 w:val="020B0600000000000000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74" w:hanging="360"/>
        <w:tabs>
          <w:tab w:val="num" w:pos="0" w:leader="none"/>
        </w:tabs>
      </w:pPr>
      <w:rPr>
        <w:b/>
        <w:i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  <w:rPr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96" w:hanging="360"/>
        <w:tabs>
          <w:tab w:val="num" w:pos="2127" w:leader="none"/>
        </w:tabs>
      </w:pPr>
      <w:rPr>
        <w:b/>
        <w:i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6314" w:hanging="360"/>
        <w:tabs>
          <w:tab w:val="num" w:pos="2725" w:leader="none"/>
        </w:tabs>
      </w:pPr>
      <w:rPr>
        <w:b/>
        <w:i/>
        <w:sz w:val="28"/>
        <w:szCs w:val="28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196" w:hanging="360"/>
        <w:tabs>
          <w:tab w:val="num" w:pos="2127" w:leader="none"/>
        </w:tabs>
      </w:pPr>
      <w:rPr>
        <w:b/>
        <w:i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6314" w:hanging="360"/>
        <w:tabs>
          <w:tab w:val="num" w:pos="2725" w:leader="none"/>
        </w:tabs>
      </w:pPr>
      <w:rPr>
        <w:b/>
        <w:i/>
        <w:sz w:val="28"/>
        <w:szCs w:val="28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196" w:hanging="360"/>
        <w:tabs>
          <w:tab w:val="num" w:pos="2127" w:leader="none"/>
        </w:tabs>
      </w:pPr>
      <w:rPr>
        <w:b/>
        <w:i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6314" w:hanging="360"/>
        <w:tabs>
          <w:tab w:val="num" w:pos="2725" w:leader="none"/>
        </w:tabs>
      </w:pPr>
      <w:rPr>
        <w:b/>
        <w:i/>
        <w:sz w:val="28"/>
        <w:szCs w:val="28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WenQuanYi Micro Hei" w:cs="Lohit Devanagari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27" w:default="1">
    <w:name w:val="Normal"/>
    <w:qFormat/>
    <w:pPr>
      <w:jc w:val="left"/>
      <w:spacing w:before="0" w:after="0"/>
      <w:widowControl/>
    </w:pPr>
    <w:rPr>
      <w:rFonts w:ascii="Times New Roman" w:hAnsi="Times New Roman" w:eastAsia="WenQuanYi Micro Hei" w:cs="Lohit Devanagari"/>
      <w:color w:val="auto"/>
      <w:sz w:val="20"/>
      <w:szCs w:val="20"/>
      <w:lang w:val="ru-RU" w:eastAsia="ru-RU" w:bidi="ar-SA"/>
    </w:rPr>
  </w:style>
  <w:style w:type="paragraph" w:styleId="628">
    <w:name w:val="Heading 1"/>
    <w:basedOn w:val="711"/>
    <w:next w:val="711"/>
    <w:link w:val="681"/>
    <w:qFormat/>
    <w:pPr>
      <w:ind w:left="1390"/>
      <w:keepNext/>
      <w:outlineLvl w:val="0"/>
    </w:pPr>
    <w:rPr>
      <w:b/>
      <w:sz w:val="24"/>
    </w:rPr>
  </w:style>
  <w:style w:type="paragraph" w:styleId="629">
    <w:name w:val="Heading 2"/>
    <w:basedOn w:val="711"/>
    <w:next w:val="711"/>
    <w:link w:val="656"/>
    <w:qFormat/>
    <w:pPr>
      <w:keepNext/>
      <w:outlineLvl w:val="1"/>
    </w:pPr>
    <w:rPr>
      <w:b/>
      <w:sz w:val="22"/>
    </w:rPr>
  </w:style>
  <w:style w:type="paragraph" w:styleId="630">
    <w:name w:val="Heading 3"/>
    <w:basedOn w:val="711"/>
    <w:next w:val="711"/>
    <w:link w:val="657"/>
    <w:qFormat/>
    <w:pPr>
      <w:keepNext/>
      <w:outlineLvl w:val="2"/>
    </w:pPr>
    <w:rPr>
      <w:b/>
    </w:rPr>
  </w:style>
  <w:style w:type="paragraph" w:styleId="631">
    <w:name w:val="Heading 4"/>
    <w:basedOn w:val="627"/>
    <w:next w:val="627"/>
    <w:link w:val="65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32">
    <w:name w:val="Heading 5"/>
    <w:basedOn w:val="627"/>
    <w:next w:val="627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33">
    <w:name w:val="Heading 6"/>
    <w:basedOn w:val="627"/>
    <w:next w:val="627"/>
    <w:link w:val="66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34">
    <w:name w:val="Heading 7"/>
    <w:basedOn w:val="627"/>
    <w:next w:val="627"/>
    <w:link w:val="66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35">
    <w:name w:val="Heading 8"/>
    <w:basedOn w:val="627"/>
    <w:next w:val="627"/>
    <w:link w:val="66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36">
    <w:name w:val="Heading 9"/>
    <w:basedOn w:val="627"/>
    <w:next w:val="627"/>
    <w:link w:val="66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37" w:default="1">
    <w:name w:val="Default Paragraph Font"/>
    <w:uiPriority w:val="1"/>
    <w:semiHidden/>
    <w:unhideWhenUsed/>
    <w:qFormat/>
  </w:style>
  <w:style w:type="character" w:styleId="638" w:customStyle="1">
    <w:name w:val="Caption Char"/>
    <w:uiPriority w:val="99"/>
    <w:qFormat/>
  </w:style>
  <w:style w:type="character" w:styleId="639" w:customStyle="1">
    <w:name w:val="Heading 2 Char"/>
    <w:basedOn w:val="637"/>
    <w:uiPriority w:val="9"/>
    <w:qFormat/>
    <w:rPr>
      <w:rFonts w:ascii="Arial" w:hAnsi="Arial" w:eastAsia="Arial" w:cs="Arial"/>
      <w:sz w:val="34"/>
    </w:rPr>
  </w:style>
  <w:style w:type="character" w:styleId="640" w:customStyle="1">
    <w:name w:val="Heading 3 Char"/>
    <w:basedOn w:val="637"/>
    <w:uiPriority w:val="9"/>
    <w:qFormat/>
    <w:rPr>
      <w:rFonts w:ascii="Arial" w:hAnsi="Arial" w:eastAsia="Arial" w:cs="Arial"/>
      <w:sz w:val="30"/>
      <w:szCs w:val="30"/>
    </w:rPr>
  </w:style>
  <w:style w:type="character" w:styleId="641" w:customStyle="1">
    <w:name w:val="Heading 4 Char"/>
    <w:basedOn w:val="63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42" w:customStyle="1">
    <w:name w:val="Heading 5 Char"/>
    <w:basedOn w:val="63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43" w:customStyle="1">
    <w:name w:val="Heading 6 Char"/>
    <w:basedOn w:val="637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44" w:customStyle="1">
    <w:name w:val="Heading 7 Char"/>
    <w:basedOn w:val="63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45" w:customStyle="1">
    <w:name w:val="Heading 8 Char"/>
    <w:basedOn w:val="637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46" w:customStyle="1">
    <w:name w:val="Heading 9 Char"/>
    <w:basedOn w:val="637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47" w:customStyle="1">
    <w:name w:val="Title Char"/>
    <w:basedOn w:val="637"/>
    <w:uiPriority w:val="10"/>
    <w:qFormat/>
    <w:rPr>
      <w:sz w:val="48"/>
      <w:szCs w:val="48"/>
    </w:rPr>
  </w:style>
  <w:style w:type="character" w:styleId="648" w:customStyle="1">
    <w:name w:val="Subtitle Char"/>
    <w:basedOn w:val="637"/>
    <w:uiPriority w:val="11"/>
    <w:qFormat/>
    <w:rPr>
      <w:sz w:val="24"/>
      <w:szCs w:val="24"/>
    </w:rPr>
  </w:style>
  <w:style w:type="character" w:styleId="649" w:customStyle="1">
    <w:name w:val="Quote Char"/>
    <w:uiPriority w:val="29"/>
    <w:qFormat/>
    <w:rPr>
      <w:i/>
    </w:rPr>
  </w:style>
  <w:style w:type="character" w:styleId="650" w:customStyle="1">
    <w:name w:val="Intense Quote Char"/>
    <w:uiPriority w:val="30"/>
    <w:qFormat/>
    <w:rPr>
      <w:i/>
    </w:rPr>
  </w:style>
  <w:style w:type="character" w:styleId="651" w:customStyle="1">
    <w:name w:val="Header Char"/>
    <w:basedOn w:val="637"/>
    <w:uiPriority w:val="99"/>
    <w:qFormat/>
  </w:style>
  <w:style w:type="character" w:styleId="652" w:customStyle="1">
    <w:name w:val="Нижний колонтитул Знак"/>
    <w:uiPriority w:val="99"/>
    <w:qFormat/>
  </w:style>
  <w:style w:type="character" w:styleId="653" w:customStyle="1">
    <w:name w:val="Footnote Text Char"/>
    <w:uiPriority w:val="99"/>
    <w:qFormat/>
    <w:rPr>
      <w:sz w:val="18"/>
    </w:rPr>
  </w:style>
  <w:style w:type="character" w:styleId="654" w:customStyle="1">
    <w:name w:val="Endnote Text Char"/>
    <w:uiPriority w:val="99"/>
    <w:qFormat/>
    <w:rPr>
      <w:sz w:val="20"/>
    </w:rPr>
  </w:style>
  <w:style w:type="character" w:styleId="655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656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657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658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59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60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61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62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63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64" w:customStyle="1">
    <w:name w:val="Название Знак"/>
    <w:uiPriority w:val="10"/>
    <w:qFormat/>
    <w:rPr>
      <w:sz w:val="48"/>
      <w:szCs w:val="48"/>
    </w:rPr>
  </w:style>
  <w:style w:type="character" w:styleId="665" w:customStyle="1">
    <w:name w:val="Подзаголовок Знак"/>
    <w:uiPriority w:val="11"/>
    <w:qFormat/>
    <w:rPr>
      <w:sz w:val="24"/>
      <w:szCs w:val="24"/>
    </w:rPr>
  </w:style>
  <w:style w:type="character" w:styleId="666" w:customStyle="1">
    <w:name w:val="Цитата 2 Знак"/>
    <w:link w:val="693"/>
    <w:uiPriority w:val="29"/>
    <w:qFormat/>
    <w:rPr>
      <w:i/>
    </w:rPr>
  </w:style>
  <w:style w:type="character" w:styleId="667" w:customStyle="1">
    <w:name w:val="Выделенная цитата Знак"/>
    <w:link w:val="694"/>
    <w:uiPriority w:val="30"/>
    <w:qFormat/>
    <w:rPr>
      <w:i/>
    </w:rPr>
  </w:style>
  <w:style w:type="character" w:styleId="668" w:customStyle="1">
    <w:name w:val="Верхний колонтитул Знак"/>
    <w:uiPriority w:val="99"/>
    <w:qFormat/>
  </w:style>
  <w:style w:type="character" w:styleId="669" w:customStyle="1">
    <w:name w:val="Footer Char"/>
    <w:uiPriority w:val="99"/>
    <w:qFormat/>
  </w:style>
  <w:style w:type="character" w:styleId="670" w:customStyle="1">
    <w:name w:val="Название объекта Знак"/>
    <w:uiPriority w:val="99"/>
    <w:qFormat/>
  </w:style>
  <w:style w:type="character" w:styleId="671">
    <w:name w:val="Hyperlink"/>
    <w:uiPriority w:val="99"/>
    <w:unhideWhenUsed/>
    <w:rPr>
      <w:color w:val="0000ff" w:themeColor="hyperlink"/>
      <w:u w:val="single"/>
    </w:rPr>
  </w:style>
  <w:style w:type="character" w:styleId="672" w:customStyle="1">
    <w:name w:val="Текст сноски Знак"/>
    <w:uiPriority w:val="99"/>
    <w:qFormat/>
    <w:rPr>
      <w:sz w:val="18"/>
    </w:rPr>
  </w:style>
  <w:style w:type="character" w:styleId="673" w:customStyle="1">
    <w:name w:val="Символ сноски"/>
    <w:uiPriority w:val="99"/>
    <w:unhideWhenUsed/>
    <w:qFormat/>
    <w:rPr>
      <w:vertAlign w:val="superscript"/>
    </w:rPr>
  </w:style>
  <w:style w:type="character" w:styleId="674">
    <w:name w:val="footnote reference"/>
    <w:rPr>
      <w:vertAlign w:val="superscript"/>
    </w:rPr>
  </w:style>
  <w:style w:type="character" w:styleId="675" w:customStyle="1">
    <w:name w:val="Текст концевой сноски Знак"/>
    <w:uiPriority w:val="99"/>
    <w:qFormat/>
    <w:rPr>
      <w:sz w:val="20"/>
    </w:rPr>
  </w:style>
  <w:style w:type="character" w:styleId="676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77">
    <w:name w:val="endnote reference"/>
    <w:rPr>
      <w:vertAlign w:val="superscript"/>
    </w:rPr>
  </w:style>
  <w:style w:type="character" w:styleId="678" w:customStyle="1">
    <w:name w:val="Текст выноски Знак"/>
    <w:link w:val="713"/>
    <w:uiPriority w:val="99"/>
    <w:semiHidden/>
    <w:qFormat/>
    <w:rPr>
      <w:rFonts w:ascii="Tahoma" w:hAnsi="Tahoma" w:cs="Tahoma"/>
      <w:sz w:val="16"/>
      <w:szCs w:val="16"/>
    </w:rPr>
  </w:style>
  <w:style w:type="character" w:styleId="679">
    <w:name w:val="Strong"/>
    <w:uiPriority w:val="22"/>
    <w:qFormat/>
    <w:rPr>
      <w:b/>
      <w:bCs/>
    </w:rPr>
  </w:style>
  <w:style w:type="character" w:styleId="680">
    <w:name w:val="Emphasis"/>
    <w:uiPriority w:val="20"/>
    <w:qFormat/>
    <w:rPr>
      <w:i/>
      <w:iCs/>
    </w:rPr>
  </w:style>
  <w:style w:type="character" w:styleId="681" w:customStyle="1">
    <w:name w:val="Заголовок 1 Знак"/>
    <w:uiPriority w:val="9"/>
    <w:qFormat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682" w:customStyle="1">
    <w:name w:val="Обычный1"/>
    <w:qFormat/>
  </w:style>
  <w:style w:type="paragraph" w:styleId="683" w:customStyle="1">
    <w:name w:val="Заголовок"/>
    <w:basedOn w:val="627"/>
    <w:next w:val="684"/>
    <w:qFormat/>
    <w:pPr>
      <w:keepNext/>
      <w:spacing w:before="240" w:after="120"/>
    </w:pPr>
    <w:rPr>
      <w:rFonts w:ascii="Open Sans" w:hAnsi="Open Sans"/>
      <w:sz w:val="28"/>
      <w:szCs w:val="28"/>
    </w:rPr>
  </w:style>
  <w:style w:type="paragraph" w:styleId="684">
    <w:name w:val="Body Text"/>
    <w:basedOn w:val="627"/>
    <w:pPr>
      <w:spacing w:before="0" w:after="140" w:line="276" w:lineRule="auto"/>
    </w:pPr>
  </w:style>
  <w:style w:type="paragraph" w:styleId="685">
    <w:name w:val="List"/>
    <w:basedOn w:val="684"/>
  </w:style>
  <w:style w:type="paragraph" w:styleId="686">
    <w:name w:val="Caption"/>
    <w:basedOn w:val="627"/>
    <w:next w:val="627"/>
    <w:link w:val="67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87">
    <w:name w:val="Указатель"/>
    <w:basedOn w:val="627"/>
    <w:qFormat/>
    <w:pPr>
      <w:suppressLineNumbers/>
    </w:pPr>
    <w:rPr>
      <w:rFonts w:cs="Lohit Devanagari"/>
    </w:rPr>
  </w:style>
  <w:style w:type="paragraph" w:styleId="688">
    <w:name w:val="index heading1"/>
    <w:basedOn w:val="683"/>
    <w:qFormat/>
  </w:style>
  <w:style w:type="paragraph" w:styleId="689">
    <w:name w:val="List Paragraph"/>
    <w:basedOn w:val="627"/>
    <w:uiPriority w:val="34"/>
    <w:qFormat/>
    <w:pPr>
      <w:contextualSpacing/>
      <w:ind w:left="720"/>
      <w:spacing w:before="0" w:after="0"/>
    </w:pPr>
  </w:style>
  <w:style w:type="paragraph" w:styleId="690">
    <w:name w:val="No Spacing"/>
    <w:uiPriority w:val="1"/>
    <w:qFormat/>
    <w:pPr>
      <w:jc w:val="left"/>
      <w:spacing w:before="0" w:after="0"/>
      <w:widowControl/>
    </w:pPr>
    <w:rPr>
      <w:rFonts w:ascii="Times New Roman" w:hAnsi="Times New Roman" w:eastAsia="WenQuanYi Micro Hei" w:cs="Lohit Devanagari"/>
      <w:color w:val="auto"/>
      <w:sz w:val="20"/>
      <w:szCs w:val="20"/>
      <w:lang w:val="ru-RU" w:eastAsia="zh-CN" w:bidi="ar-SA"/>
    </w:rPr>
  </w:style>
  <w:style w:type="paragraph" w:styleId="691">
    <w:name w:val="Title"/>
    <w:basedOn w:val="627"/>
    <w:next w:val="627"/>
    <w:link w:val="664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92">
    <w:name w:val="Subtitle"/>
    <w:basedOn w:val="627"/>
    <w:next w:val="627"/>
    <w:link w:val="665"/>
    <w:uiPriority w:val="11"/>
    <w:qFormat/>
    <w:pPr>
      <w:spacing w:before="200" w:after="200"/>
    </w:pPr>
    <w:rPr>
      <w:sz w:val="24"/>
      <w:szCs w:val="24"/>
    </w:rPr>
  </w:style>
  <w:style w:type="paragraph" w:styleId="693">
    <w:name w:val="Quote"/>
    <w:basedOn w:val="627"/>
    <w:next w:val="627"/>
    <w:link w:val="666"/>
    <w:uiPriority w:val="29"/>
    <w:qFormat/>
    <w:pPr>
      <w:ind w:left="720" w:right="720"/>
    </w:pPr>
    <w:rPr>
      <w:i/>
    </w:rPr>
  </w:style>
  <w:style w:type="paragraph" w:styleId="694">
    <w:name w:val="Intense Quote"/>
    <w:basedOn w:val="627"/>
    <w:next w:val="627"/>
    <w:link w:val="66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95" w:customStyle="1">
    <w:name w:val="Колонтитул"/>
    <w:basedOn w:val="627"/>
    <w:qFormat/>
  </w:style>
  <w:style w:type="paragraph" w:styleId="696">
    <w:name w:val="Footer"/>
    <w:basedOn w:val="627"/>
    <w:link w:val="652"/>
    <w:uiPriority w:val="99"/>
    <w:unhideWhenUsed/>
    <w:pPr>
      <w:tabs>
        <w:tab w:val="clear" w:pos="720" w:leader="none"/>
        <w:tab w:val="center" w:pos="7143" w:leader="none"/>
        <w:tab w:val="right" w:pos="14287" w:leader="none"/>
      </w:tabs>
    </w:pPr>
  </w:style>
  <w:style w:type="paragraph" w:styleId="697">
    <w:name w:val="footnote text"/>
    <w:basedOn w:val="627"/>
    <w:link w:val="672"/>
    <w:uiPriority w:val="99"/>
    <w:semiHidden/>
    <w:unhideWhenUsed/>
    <w:pPr>
      <w:spacing w:before="0" w:after="40"/>
    </w:pPr>
    <w:rPr>
      <w:sz w:val="18"/>
    </w:rPr>
  </w:style>
  <w:style w:type="paragraph" w:styleId="698">
    <w:name w:val="endnote text"/>
    <w:basedOn w:val="627"/>
    <w:link w:val="675"/>
    <w:uiPriority w:val="99"/>
    <w:semiHidden/>
    <w:unhideWhenUsed/>
  </w:style>
  <w:style w:type="paragraph" w:styleId="699">
    <w:name w:val="toc 1"/>
    <w:basedOn w:val="627"/>
    <w:next w:val="627"/>
    <w:uiPriority w:val="39"/>
    <w:unhideWhenUsed/>
    <w:pPr>
      <w:spacing w:before="0" w:after="57"/>
    </w:pPr>
  </w:style>
  <w:style w:type="paragraph" w:styleId="700">
    <w:name w:val="toc 2"/>
    <w:basedOn w:val="627"/>
    <w:next w:val="627"/>
    <w:uiPriority w:val="39"/>
    <w:unhideWhenUsed/>
    <w:pPr>
      <w:ind w:left="283"/>
      <w:spacing w:before="0" w:after="57"/>
    </w:pPr>
  </w:style>
  <w:style w:type="paragraph" w:styleId="701">
    <w:name w:val="toc 3"/>
    <w:basedOn w:val="627"/>
    <w:next w:val="627"/>
    <w:uiPriority w:val="39"/>
    <w:unhideWhenUsed/>
    <w:pPr>
      <w:ind w:left="567"/>
      <w:spacing w:before="0" w:after="57"/>
    </w:pPr>
  </w:style>
  <w:style w:type="paragraph" w:styleId="702">
    <w:name w:val="toc 4"/>
    <w:basedOn w:val="627"/>
    <w:next w:val="627"/>
    <w:uiPriority w:val="39"/>
    <w:unhideWhenUsed/>
    <w:pPr>
      <w:ind w:left="850"/>
      <w:spacing w:before="0" w:after="57"/>
    </w:pPr>
  </w:style>
  <w:style w:type="paragraph" w:styleId="703">
    <w:name w:val="toc 5"/>
    <w:basedOn w:val="627"/>
    <w:next w:val="627"/>
    <w:uiPriority w:val="39"/>
    <w:unhideWhenUsed/>
    <w:pPr>
      <w:ind w:left="1134"/>
      <w:spacing w:before="0" w:after="57"/>
    </w:pPr>
  </w:style>
  <w:style w:type="paragraph" w:styleId="704">
    <w:name w:val="toc 6"/>
    <w:basedOn w:val="627"/>
    <w:next w:val="627"/>
    <w:uiPriority w:val="39"/>
    <w:unhideWhenUsed/>
    <w:pPr>
      <w:ind w:left="1417"/>
      <w:spacing w:before="0" w:after="57"/>
    </w:pPr>
  </w:style>
  <w:style w:type="paragraph" w:styleId="705">
    <w:name w:val="toc 7"/>
    <w:basedOn w:val="627"/>
    <w:next w:val="627"/>
    <w:uiPriority w:val="39"/>
    <w:unhideWhenUsed/>
    <w:pPr>
      <w:ind w:left="1701"/>
      <w:spacing w:before="0" w:after="57"/>
    </w:pPr>
  </w:style>
  <w:style w:type="paragraph" w:styleId="706">
    <w:name w:val="toc 8"/>
    <w:basedOn w:val="627"/>
    <w:next w:val="627"/>
    <w:uiPriority w:val="39"/>
    <w:unhideWhenUsed/>
    <w:pPr>
      <w:ind w:left="1984"/>
      <w:spacing w:before="0" w:after="57"/>
    </w:pPr>
  </w:style>
  <w:style w:type="paragraph" w:styleId="707">
    <w:name w:val="toc 9"/>
    <w:basedOn w:val="627"/>
    <w:next w:val="627"/>
    <w:uiPriority w:val="39"/>
    <w:unhideWhenUsed/>
    <w:pPr>
      <w:ind w:left="2268"/>
      <w:spacing w:before="0" w:after="57"/>
    </w:pPr>
  </w:style>
  <w:style w:type="paragraph" w:styleId="708">
    <w:name w:val="Index Heading"/>
    <w:basedOn w:val="683"/>
  </w:style>
  <w:style w:type="paragraph" w:styleId="709">
    <w:name w:val="TOC Heading"/>
    <w:uiPriority w:val="39"/>
    <w:unhideWhenUsed/>
    <w:qFormat/>
    <w:pPr>
      <w:jc w:val="left"/>
      <w:spacing w:before="0" w:after="0"/>
      <w:widowControl/>
    </w:pPr>
    <w:rPr>
      <w:rFonts w:ascii="Times New Roman" w:hAnsi="Times New Roman" w:eastAsia="WenQuanYi Micro Hei" w:cs="Lohit Devanagari"/>
      <w:color w:val="auto"/>
      <w:sz w:val="20"/>
      <w:szCs w:val="20"/>
      <w:lang w:val="ru-RU" w:eastAsia="zh-CN" w:bidi="ar-SA"/>
    </w:rPr>
  </w:style>
  <w:style w:type="paragraph" w:styleId="710">
    <w:name w:val="table of figures"/>
    <w:basedOn w:val="627"/>
    <w:next w:val="627"/>
    <w:uiPriority w:val="99"/>
    <w:unhideWhenUsed/>
  </w:style>
  <w:style w:type="paragraph" w:styleId="711" w:customStyle="1">
    <w:name w:val="Normal1"/>
    <w:qFormat/>
    <w:pPr>
      <w:jc w:val="left"/>
      <w:spacing w:before="0" w:after="0"/>
      <w:widowControl/>
    </w:pPr>
    <w:rPr>
      <w:rFonts w:ascii="Times New Roman" w:hAnsi="Times New Roman" w:eastAsia="WenQuanYi Micro Hei" w:cs="Lohit Devanagari"/>
      <w:color w:val="auto"/>
      <w:sz w:val="20"/>
      <w:szCs w:val="20"/>
      <w:lang w:val="ru-RU" w:eastAsia="ru-RU" w:bidi="ar-SA"/>
    </w:rPr>
  </w:style>
  <w:style w:type="paragraph" w:styleId="712">
    <w:name w:val="Header"/>
    <w:basedOn w:val="711"/>
    <w:link w:val="668"/>
    <w:pPr>
      <w:tabs>
        <w:tab w:val="clear" w:pos="720" w:leader="none"/>
        <w:tab w:val="center" w:pos="4153" w:leader="none"/>
        <w:tab w:val="right" w:pos="8306" w:leader="none"/>
      </w:tabs>
    </w:pPr>
  </w:style>
  <w:style w:type="paragraph" w:styleId="713">
    <w:name w:val="Balloon Text"/>
    <w:basedOn w:val="627"/>
    <w:link w:val="678"/>
    <w:uiPriority w:val="99"/>
    <w:semiHidden/>
    <w:unhideWhenUsed/>
    <w:qFormat/>
    <w:rPr>
      <w:rFonts w:ascii="Tahoma" w:hAnsi="Tahoma"/>
      <w:sz w:val="16"/>
      <w:szCs w:val="16"/>
      <w:lang w:val="en-US" w:eastAsia="en-US"/>
    </w:rPr>
  </w:style>
  <w:style w:type="paragraph" w:styleId="714">
    <w:name w:val="Normal (Web)"/>
    <w:basedOn w:val="627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715" w:customStyle="1">
    <w:name w:val="ConsPlusNonformat"/>
    <w:qFormat/>
    <w:pPr>
      <w:jc w:val="left"/>
      <w:spacing w:before="0" w:after="0"/>
      <w:widowControl w:val="off"/>
    </w:pPr>
    <w:rPr>
      <w:rFonts w:ascii="Courier New" w:hAnsi="Courier New" w:eastAsia="WenQuanYi Micro Hei" w:cs="Courier New"/>
      <w:color w:val="auto"/>
      <w:sz w:val="20"/>
      <w:szCs w:val="20"/>
      <w:lang w:val="ru-RU" w:eastAsia="ru-RU" w:bidi="ar-SA"/>
    </w:rPr>
  </w:style>
  <w:style w:type="paragraph" w:styleId="716" w:customStyle="1">
    <w:name w:val="Для оглавления2"/>
    <w:qFormat/>
    <w:pPr>
      <w:ind w:left="1070" w:hanging="360"/>
      <w:jc w:val="center"/>
      <w:spacing w:before="240" w:after="120" w:line="276" w:lineRule="auto"/>
      <w:widowControl/>
    </w:pPr>
    <w:rPr>
      <w:rFonts w:ascii="Times New Roman" w:hAnsi="Times New Roman" w:eastAsia="Arial" w:cs="Lohit Devanagari" w:eastAsiaTheme="minorEastAsia"/>
      <w:b/>
      <w:bCs/>
      <w:color w:val="5a5a5a" w:themeColor="text1" w:themeTint="A5"/>
      <w:spacing w:val="15"/>
      <w:sz w:val="28"/>
      <w:szCs w:val="28"/>
      <w:lang w:val="ru-RU" w:eastAsia="en-US" w:bidi="ar-SA"/>
    </w:rPr>
  </w:style>
  <w:style w:type="paragraph" w:styleId="717" w:customStyle="1">
    <w:name w:val="Текст1"/>
    <w:unhideWhenUsed/>
    <w:qFormat/>
    <w:pPr>
      <w:jc w:val="left"/>
      <w:spacing w:before="0" w:after="0"/>
      <w:widowControl/>
    </w:pPr>
    <w:rPr>
      <w:rFonts w:ascii="Calibri" w:hAnsi="Calibri" w:eastAsia="Calibri" w:cs="Lohit Devanagari"/>
      <w:color w:val="auto"/>
      <w:sz w:val="22"/>
      <w:szCs w:val="21"/>
      <w:lang w:val="ru-RU" w:eastAsia="en-US" w:bidi="ar-SA"/>
    </w:rPr>
  </w:style>
  <w:style w:type="numbering" w:styleId="718" w:default="1">
    <w:name w:val="No List"/>
    <w:uiPriority w:val="99"/>
    <w:semiHidden/>
    <w:unhideWhenUsed/>
    <w:qFormat/>
  </w:style>
  <w:style w:type="table" w:styleId="719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20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 w:customStyle="1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23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24">
    <w:name w:val="Plain Table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25">
    <w:name w:val="Plain Table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26">
    <w:name w:val="Plain Table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7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28" w:customStyle="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29" w:customStyle="1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30" w:customStyle="1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31" w:customStyle="1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32" w:customStyle="1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33" w:customStyle="1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34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749" w:customStyle="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ce6f2" w:fill="dce6f2" w:themeFill="accent1" w:themeFillTint="32"/>
      </w:tcPr>
    </w:tblStylePr>
    <w:tblStylePr w:type="band1Vert">
      <w:rPr>
        <w:sz w:val="22"/>
      </w:rPr>
      <w:tcPr>
        <w:shd w:val="clear" w:color="dce6f2" w:fill="dce6f2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d8ac2" w:fill="5d8ac2" w:themeFill="accent1" w:themeFillTint="EA"/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</w:tcBorders>
      </w:tcPr>
    </w:tblStylePr>
  </w:style>
  <w:style w:type="table" w:styleId="750" w:customStyle="1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d99695" w:fill="d99695" w:themeFill="accent2" w:themeFillTint="97"/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</w:tcBorders>
      </w:tcPr>
    </w:tblStylePr>
  </w:style>
  <w:style w:type="table" w:styleId="751" w:customStyle="1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abb59" w:fill="9abb59" w:themeFill="accent3" w:themeFillTint="FE"/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</w:tcBorders>
      </w:tcPr>
    </w:tblStylePr>
  </w:style>
  <w:style w:type="table" w:styleId="752" w:customStyle="1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b2a1c6" w:fill="b2a1c6" w:themeFill="accent4" w:themeFillTint="9A"/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</w:tcBorders>
      </w:tcPr>
    </w:tblStylePr>
  </w:style>
  <w:style w:type="table" w:styleId="753" w:customStyle="1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</w:tcBorders>
      </w:tcPr>
    </w:tblStylePr>
  </w:style>
  <w:style w:type="table" w:styleId="754" w:customStyle="1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</w:tcBorders>
      </w:tcPr>
    </w:tblStylePr>
  </w:style>
  <w:style w:type="table" w:styleId="755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sz w:val="22"/>
      </w:rPr>
      <w:tcPr>
        <w:shd w:val="clear" w:color="000000" w:fill="000000" w:themeFill="text1"/>
      </w:tc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  <w:sz w:val="22"/>
      </w:rPr>
      <w:tcPr>
        <w:shd w:val="clear" w:color="000000" w:fill="000000" w:themeFill="text1"/>
      </w:tcPr>
    </w:tblStylePr>
    <w:tblStylePr w:type="lastRow">
      <w:rPr>
        <w:b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sz w:val="22"/>
      </w:rPr>
      <w:tcPr>
        <w:shd w:val="clear" w:color="4f81bd" w:fill="4f81bd" w:themeFill="accent1"/>
      </w:tc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  <w:sz w:val="22"/>
      </w:rPr>
      <w:tcPr>
        <w:shd w:val="clear" w:color="4f81bd" w:fill="4f81bd" w:themeFill="accent1"/>
      </w:tcPr>
    </w:tblStylePr>
    <w:tblStylePr w:type="lastRow">
      <w:rPr>
        <w:b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sz w:val="22"/>
      </w:rPr>
      <w:tcPr>
        <w:shd w:val="clear" w:color="c0504d" w:fill="c0504d" w:themeFill="accent2"/>
      </w:tc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  <w:sz w:val="22"/>
      </w:rPr>
      <w:tcPr>
        <w:shd w:val="clear" w:color="c0504d" w:fill="c0504d" w:themeFill="accent2"/>
      </w:tcPr>
    </w:tblStylePr>
    <w:tblStylePr w:type="lastRow">
      <w:rPr>
        <w:b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sz w:val="22"/>
      </w:rPr>
      <w:tcPr>
        <w:shd w:val="clear" w:color="9bbb59" w:fill="9bbb59" w:themeFill="accent3"/>
      </w:tc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  <w:sz w:val="22"/>
      </w:rPr>
      <w:tcPr>
        <w:shd w:val="clear" w:color="9bbb59" w:fill="9bbb59" w:themeFill="accent3"/>
      </w:tcPr>
    </w:tblStylePr>
    <w:tblStylePr w:type="lastRow">
      <w:rPr>
        <w:b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sz w:val="22"/>
      </w:rPr>
      <w:tcPr>
        <w:shd w:val="clear" w:color="8064a2" w:fill="8064a2" w:themeFill="accent4"/>
      </w:tc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  <w:sz w:val="22"/>
      </w:rPr>
      <w:tcPr>
        <w:shd w:val="clear" w:color="8064a2" w:fill="8064a2" w:themeFill="accent4"/>
      </w:tcPr>
    </w:tblStylePr>
    <w:tblStylePr w:type="lastRow">
      <w:rPr>
        <w:b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sz w:val="22"/>
      </w:rPr>
      <w:tcPr>
        <w:shd w:val="clear" w:color="4bacc6" w:fill="4bacc6" w:themeFill="accent5"/>
      </w:tc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  <w:sz w:val="22"/>
      </w:rPr>
      <w:tcPr>
        <w:shd w:val="clear" w:color="4bacc6" w:fill="4bacc6" w:themeFill="accent5"/>
      </w:tcPr>
    </w:tblStylePr>
    <w:tblStylePr w:type="lastRow">
      <w:rPr>
        <w:b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sz w:val="22"/>
      </w:rPr>
      <w:tcPr>
        <w:shd w:val="clear" w:color="f79646" w:fill="f79646" w:themeFill="accent6"/>
      </w:tc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  <w:sz w:val="22"/>
      </w:rPr>
      <w:tcPr>
        <w:shd w:val="clear" w:color="f79646" w:fill="f79646" w:themeFill="accent6"/>
      </w:tcPr>
    </w:tblStylePr>
    <w:tblStylePr w:type="lastRow">
      <w:rPr>
        <w:b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762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a4a4a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</w:style>
  <w:style w:type="table" w:styleId="763" w:customStyle="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e70a3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</w:style>
  <w:style w:type="table" w:styleId="764" w:customStyle="1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</w:style>
  <w:style w:type="table" w:styleId="765" w:customStyle="1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5c702f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</w:style>
  <w:style w:type="table" w:styleId="766" w:customStyle="1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</w:style>
  <w:style w:type="table" w:styleId="767" w:customStyle="1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7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</w:style>
  <w:style w:type="table" w:styleId="768" w:customStyle="1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7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</w:style>
  <w:style w:type="table" w:styleId="769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a4a4a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e70a3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3e70a3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5c702f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5c702f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7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266777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053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b053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84" w:customStyle="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785" w:customStyle="1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786" w:customStyle="1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787" w:customStyle="1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788" w:customStyle="1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789" w:customStyle="1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790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1" w:customStyle="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2" w:customStyle="1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d99695" w:fill="d9969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3" w:customStyle="1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3d69b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4" w:customStyle="1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b2a1c6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5" w:customStyle="1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2ccdc" w:fill="92cc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6" w:customStyle="1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ac090" w:fill="fac0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7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8" w:customStyle="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9" w:customStyle="1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0" w:customStyle="1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1" w:customStyle="1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2" w:customStyle="1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3" w:customStyle="1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4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05" w:customStyle="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06" w:customStyle="1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C0504D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07" w:customStyle="1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9BBB5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08" w:customStyle="1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8064A2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09" w:customStyle="1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4BACC6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10" w:customStyle="1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79646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11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12" w:customStyle="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b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3" w:customStyle="1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814" w:customStyle="1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c983f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815" w:customStyle="1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816" w:customStyle="1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38aa0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817" w:customStyle="1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680c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818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a4a4a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b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b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c983f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7c983f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38aa0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338aa0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680c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d9680c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ned - Accent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26" w:customStyle="1">
    <w:name w:val="Lined - Accent 1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827" w:customStyle="1">
    <w:name w:val="Lined - Accent 2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828" w:customStyle="1">
    <w:name w:val="Lined - Accent 3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829" w:customStyle="1">
    <w:name w:val="Lined - Accent 4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830" w:customStyle="1">
    <w:name w:val="Lined - Accent 5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831" w:customStyle="1">
    <w:name w:val="Lined - Accent 6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832" w:customStyle="1">
    <w:name w:val="Bordered &amp; Lined - Accent"/>
    <w:uiPriority w:val="99"/>
    <w:rPr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33" w:customStyle="1">
    <w:name w:val="Bordered &amp; Lined - Accent 1"/>
    <w:uiPriority w:val="99"/>
    <w:rPr>
      <w:lang w:eastAsia="ru-RU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834" w:customStyle="1">
    <w:name w:val="Bordered &amp; Lined - Accent 2"/>
    <w:uiPriority w:val="99"/>
    <w:rPr>
      <w:lang w:eastAsia="ru-RU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835" w:customStyle="1">
    <w:name w:val="Bordered &amp; Lined - Accent 3"/>
    <w:uiPriority w:val="99"/>
    <w:rPr>
      <w:lang w:eastAsia="ru-RU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836" w:customStyle="1">
    <w:name w:val="Bordered &amp; Lined - Accent 4"/>
    <w:uiPriority w:val="99"/>
    <w:rPr>
      <w:lang w:eastAsia="ru-RU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837" w:customStyle="1">
    <w:name w:val="Bordered &amp; Lined - Accent 5"/>
    <w:uiPriority w:val="99"/>
    <w:rPr>
      <w:lang w:eastAsia="ru-RU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838" w:customStyle="1">
    <w:name w:val="Bordered &amp; Lined - Accent 6"/>
    <w:uiPriority w:val="99"/>
    <w:rPr>
      <w:lang w:eastAsia="ru-RU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839" w:customStyle="1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40" w:customStyle="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1" w:customStyle="1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842" w:customStyle="1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843" w:customStyle="1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844" w:customStyle="1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845" w:customStyle="1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sz w:val="22"/>
      </w:rPr>
      <w:tcPr>
        <w:tcBorders>
          <w:top w:val="single" w:color="F79646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jpg"/><Relationship Id="rId12" Type="http://schemas.openxmlformats.org/officeDocument/2006/relationships/image" Target="media/image4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DZHMAO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Унифицированная форма № Т-9</dc:title>
  <dc:subject/>
  <dc:creator>Galina Argicheva</dc:creator>
  <dc:description/>
  <dc:language>ru-RU</dc:language>
  <cp:lastModifiedBy>ovchinnikovaev</cp:lastModifiedBy>
  <cp:revision>20</cp:revision>
  <dcterms:created xsi:type="dcterms:W3CDTF">2025-04-30T07:23:00Z</dcterms:created>
  <dcterms:modified xsi:type="dcterms:W3CDTF">2025-05-14T06:33:22Z</dcterms:modified>
  <cp:version>983040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